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Rent Payment Reminder Letter</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Washington: </w:t>
      </w:r>
      <w:r>
        <w:rPr>
          <w:sz w:val="19"/>
        </w:rPr>
        <w:t xml:space="preserve">Late fees are allowed only if rent is more than five days past due; once it is, fees can run from the day after the due date. (RCW 59.18.170)</w:t>
      </w:r>
    </w:p>
    <w:p>
      <w:pPr>
        <w:pBdr>
          <w:left w:val="single" w:sz="18" w:space="8" w:color="1F3D2B"/>
        </w:pBdr>
        <w:shd w:val="clear" w:color="auto" w:fill="F2F2F2"/>
        <w:spacing w:before="0" w:after="160"/>
        <w:ind w:left="120"/>
      </w:pPr>
      <w:r>
        <w:rPr>
          <w:b/>
          <w:sz w:val="19"/>
        </w:rPr>
        <w:t xml:space="preserve">Grace period in Washington: </w:t>
      </w:r>
      <w:r>
        <w:rPr>
          <w:sz w:val="19"/>
        </w:rPr>
        <w:t xml:space="preserve">Rent paid within five days after the due date cannot be charged a late fee. (RCW 59.18.170)</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Washington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Rent Payment Reminder Letter</dc:title>
  <dc:creator>TenantLoop</dc:creator>
</cp:coreProperties>
</file>