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Washington Rent Ledger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Washington attorney review before use. Last reviewed October 29, 2026.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Tenant name or names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Lease start and end dates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Monthly rent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Rent due day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Security deposit held (record separately, not as a payment)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How to keep it: add one line for every charge (rent, late charge, utility, repair billed to the tenant) and every payment or credit. Charges raise the balance and payments lower it. A positive balance means the tenant owes money; a negative balance is a credit. Never record the security deposit as rent.</w:t>
      </w: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1337"/>
        <w:gridCol w:w="1337"/>
        <w:gridCol w:w="1337"/>
        <w:gridCol w:w="1337"/>
        <w:gridCol w:w="1337"/>
        <w:gridCol w:w="1337"/>
        <w:gridCol w:w="1337"/>
      </w:tblGrid>
      <w:tr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Date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Description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Charge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Payment or credit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Balance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Method or reference</w:t>
            </w:r>
          </w:p>
        </w:tc>
        <w:tc>
          <w:tcPr>
            <w:tcW w:w="1337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Notes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Opening balance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1337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Year end summary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Total charges this year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Total payments this year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at year end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Prepared by and date</w:t>
            </w:r>
          </w:p>
        </w:tc>
      </w:tr>
    </w:tbl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Washington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Washington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Washington Rent Ledger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Washington Rent Ledger</dc:title>
  <dc:creator>TenantLoop</dc:creator>
</cp:coreProperties>
</file>