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Rent Increase Letter</w:t>
      </w:r>
    </w:p>
    <w:p>
      <w:pPr>
        <w:spacing w:before="0" w:after="240"/>
      </w:pPr>
      <w:r>
        <w:rPr>
          <w:color w:val="555555"/>
          <w:sz w:val="22"/>
        </w:rPr>
        <w:t xml:space="preserve">General template, not legal advice. Have a Washington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in Washington: </w:t>
      </w:r>
      <w:r>
        <w:rPr>
          <w:sz w:val="19"/>
        </w:rPr>
        <w:t xml:space="preserve">Landlords must give at least 90 days of written notice before a rent increase, and an increase cannot take effect before a fixed term ends. (RCW 59.18.140) For subsidized tenancies where rent is based on household income, the notice period is 30 days. (RCW 59.18.140)</w:t>
      </w:r>
    </w:p>
    <w:p>
      <w:pPr>
        <w:pBdr>
          <w:left w:val="single" w:sz="18" w:space="8" w:color="1F3D2B"/>
        </w:pBdr>
        <w:shd w:val="clear" w:color="auto" w:fill="F2F2F2"/>
        <w:spacing w:before="0" w:after="160"/>
        <w:ind w:left="120"/>
      </w:pPr>
      <w:r>
        <w:rPr>
          <w:b/>
          <w:sz w:val="19"/>
        </w:rPr>
        <w:t xml:space="preserve">Rent control or caps in Washington: </w:t>
      </w:r>
      <w:r>
        <w:rPr>
          <w:sz w:val="19"/>
        </w:rPr>
        <w:t xml:space="preserve">Washington limits most residential rent increases to 7 percent plus the Seattle area consumer price index, or 10 percent, whichever is lower, in any 12 month period. (RCW 59.18.700)</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Rent Increase Letter</dc:title>
  <dc:creator>TenantLoop</dc:creator>
</cp:coreProperties>
</file>