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Washington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Washington: </w:t>
      </w:r>
      <w:r>
        <w:rPr>
          <w:sz w:val="19"/>
        </w:rPr>
        <w:t xml:space="preserve">A tenant ends a month to month tenancy with at least 20 days of written notice before the end of a rental period; a landlord needs one of the causes listed in the statute. (RCW 59.18.200 and RCW 59.18.650)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Washington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Washington: </w:t>
      </w:r>
      <w:r>
        <w:rPr>
          <w:sz w:val="19"/>
        </w:rPr>
        <w:t xml:space="preserve">The landlord has 30 days after the tenancy ends and the tenant moves out to return the deposit or send a full and specific statement of the reasons for keeping any part. (RCW 59.18.280)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Tenant Notice to Vacate</dc:title>
  <dc:creator>TenantLoop</dc:creator>
</cp:coreProperties>
</file>