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30 or 60 Day Notice to End Tenancy</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Washington: </w:t>
      </w:r>
      <w:r>
        <w:rPr>
          <w:sz w:val="19"/>
        </w:rPr>
        <w:t xml:space="preserve">A tenant ends a month to month tenancy with at least 20 days of written notice before the end of a rental period; a landlord needs one of the causes listed in the statute. (RCW 59.18.200 and RCW 59.18.650)</w:t>
      </w:r>
    </w:p>
    <w:p>
      <w:pPr>
        <w:pBdr>
          <w:left w:val="single" w:sz="18" w:space="8" w:color="1F3D2B"/>
        </w:pBdr>
        <w:shd w:val="clear" w:color="auto" w:fill="F2F2F2"/>
        <w:spacing w:before="0" w:after="160"/>
        <w:ind w:left="120"/>
      </w:pPr>
      <w:r>
        <w:rPr>
          <w:b/>
          <w:sz w:val="19"/>
        </w:rPr>
        <w:t xml:space="preserve">Local just cause rules: </w:t>
      </w:r>
      <w:r>
        <w:rPr>
          <w:sz w:val="19"/>
        </w:rPr>
        <w:t xml:space="preserve">________ (check the rule in Washington)</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Washington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Washington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Washington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30 or 60 Day Notice to End Tenancy</dc:title>
  <dc:creator>TenantLoop</dc:creator>
</cp:coreProperties>
</file>