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Virginia Normal Wear and Tear vs. Damage Checklist</w:t>
      </w:r>
    </w:p>
    <w:p>
      <w:pPr>
        <w:spacing w:before="0" w:after="240"/>
      </w:pPr>
      <w:r>
        <w:rPr>
          <w:color w:val="555555"/>
          <w:sz w:val="22"/>
        </w:rPr>
        <w:t xml:space="preserve">General template, not legal advice. Have a Virginia attorney review before use. Last reviewed October 29, 2026.</w:t>
      </w:r>
    </w:p>
    <w:p>
      <w:pPr>
        <w:spacing w:before="0" w:after="120"/>
      </w:pPr>
      <w:r>
        <w:rPr>
          <w:sz w:val="21"/>
        </w:rPr>
        <w:t xml:space="preserve">Normal wear and tear is the gradual decline that comes from ordinary living, even by a careful tenant. Damage is harm beyond that, caused by accident, neglect or misuse. Courts look at the facts, the length of the tenancy and the age of the item, so treat this list as a guide, not a rule. Longer tenancies mean more wear is normal.</w:t>
      </w:r>
    </w:p>
    <w:p>
      <w:pPr>
        <w:pBdr>
          <w:left w:val="single" w:sz="18" w:space="8" w:color="1F3D2B"/>
        </w:pBdr>
        <w:shd w:val="clear" w:color="auto" w:fill="F2F2F2"/>
        <w:spacing w:before="0" w:after="160"/>
        <w:ind w:left="120"/>
      </w:pPr>
      <w:r>
        <w:rPr>
          <w:b/>
          <w:sz w:val="19"/>
        </w:rPr>
        <w:t xml:space="preserve">Itemization rules in Virginia: </w:t>
      </w:r>
      <w:r>
        <w:rPr>
          <w:sz w:val="19"/>
        </w:rPr>
        <w:t xml:space="preserve">Deductions must be itemized in writing; when a third party contractor is needed for repairs, the landlord gives notice within the 45 days and has 15 more days to send the final list. (Va. Code 55.1-1226(A) and (E))</w:t>
      </w:r>
    </w:p>
    <w:p>
      <w:pPr>
        <w:pStyle w:val="Heading2"/>
        <w:keepNext/>
        <w:spacing w:before="240" w:after="100"/>
      </w:pPr>
      <w:r>
        <w:rPr>
          <w:b/>
          <w:sz w:val="26"/>
        </w:rPr>
        <w:t xml:space="preserve">Walls and paint</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Usually normal wear</w:t>
            </w:r>
          </w:p>
        </w:tc>
        <w:tc>
          <w:tcPr>
            <w:tcW w:w="4680" w:type="dxa"/>
            <w:shd w:val="clear" w:color="auto" w:fill="EDEDED"/>
          </w:tcPr>
          <w:p>
            <w:pPr>
              <w:spacing w:before="0" w:after="40"/>
            </w:pPr>
            <w:r>
              <w:rPr>
                <w:b/>
                <w:sz w:val="19"/>
              </w:rPr>
              <w:t xml:space="preserve">Usually damage</w:t>
            </w:r>
          </w:p>
        </w:tc>
      </w:tr>
      <w:tr>
        <w:tc>
          <w:tcPr>
            <w:tcW w:w="4680" w:type="dxa"/>
          </w:tcPr>
          <w:p>
            <w:pPr>
              <w:spacing w:before="0" w:after="200"/>
            </w:pPr>
            <w:r>
              <w:rPr>
                <w:sz w:val="19"/>
              </w:rPr>
              <w:t xml:space="preserve">Paint faded or slightly dulled by sunlight</w:t>
            </w:r>
          </w:p>
        </w:tc>
        <w:tc>
          <w:tcPr>
            <w:tcW w:w="4680" w:type="dxa"/>
          </w:tcPr>
          <w:p>
            <w:pPr>
              <w:spacing w:before="0" w:after="200"/>
            </w:pPr>
            <w:r>
              <w:rPr>
                <w:sz w:val="19"/>
              </w:rPr>
              <w:t xml:space="preserve">Holes from furniture, doorknobs or fists</w:t>
            </w:r>
          </w:p>
        </w:tc>
      </w:tr>
      <w:tr>
        <w:tc>
          <w:tcPr>
            <w:tcW w:w="4680" w:type="dxa"/>
          </w:tcPr>
          <w:p>
            <w:pPr>
              <w:spacing w:before="0" w:after="200"/>
            </w:pPr>
            <w:r>
              <w:rPr>
                <w:sz w:val="19"/>
              </w:rPr>
              <w:t xml:space="preserve">A few small nail holes from hanging pictures</w:t>
            </w:r>
          </w:p>
        </w:tc>
        <w:tc>
          <w:tcPr>
            <w:tcW w:w="4680" w:type="dxa"/>
          </w:tcPr>
          <w:p>
            <w:pPr>
              <w:spacing w:before="0" w:after="200"/>
            </w:pPr>
            <w:r>
              <w:rPr>
                <w:sz w:val="19"/>
              </w:rPr>
              <w:t xml:space="preserve">Many large anchor holes or shelves torn out</w:t>
            </w:r>
          </w:p>
        </w:tc>
      </w:tr>
      <w:tr>
        <w:tc>
          <w:tcPr>
            <w:tcW w:w="4680" w:type="dxa"/>
          </w:tcPr>
          <w:p>
            <w:pPr>
              <w:spacing w:before="0" w:after="200"/>
            </w:pPr>
            <w:r>
              <w:rPr>
                <w:sz w:val="19"/>
              </w:rPr>
              <w:t xml:space="preserve">Light scuffs along furniture height</w:t>
            </w:r>
          </w:p>
        </w:tc>
        <w:tc>
          <w:tcPr>
            <w:tcW w:w="4680" w:type="dxa"/>
          </w:tcPr>
          <w:p>
            <w:pPr>
              <w:spacing w:before="0" w:after="200"/>
            </w:pPr>
            <w:r>
              <w:rPr>
                <w:sz w:val="19"/>
              </w:rPr>
              <w:t xml:space="preserve">Crayon, marker or unapproved paint colors</w:t>
            </w:r>
          </w:p>
        </w:tc>
      </w:tr>
      <w:tr>
        <w:tc>
          <w:tcPr>
            <w:tcW w:w="4680" w:type="dxa"/>
          </w:tcPr>
          <w:p>
            <w:pPr>
              <w:spacing w:before="0" w:after="200"/>
            </w:pPr>
            <w:r>
              <w:rPr>
                <w:sz w:val="19"/>
              </w:rPr>
              <w:t xml:space="preserve">Hairline cracks from settling</w:t>
            </w:r>
          </w:p>
        </w:tc>
        <w:tc>
          <w:tcPr>
            <w:tcW w:w="4680" w:type="dxa"/>
          </w:tcPr>
          <w:p>
            <w:pPr>
              <w:spacing w:before="0" w:after="200"/>
            </w:pPr>
            <w:r>
              <w:rPr>
                <w:sz w:val="19"/>
              </w:rPr>
              <w:t xml:space="preserve">Smoke stains that need sealing before painting</w:t>
            </w:r>
          </w:p>
        </w:tc>
      </w:tr>
    </w:tbl>
    <w:p>
      <w:pPr>
        <w:spacing w:before="0" w:after="120"/>
      </w:pPr>
    </w:p>
    <w:p>
      <w:pPr>
        <w:pStyle w:val="Heading2"/>
        <w:keepNext/>
        <w:spacing w:before="240" w:after="100"/>
      </w:pPr>
      <w:r>
        <w:rPr>
          <w:b/>
          <w:sz w:val="26"/>
        </w:rPr>
        <w:t xml:space="preserve">Floors and carpet</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Usually normal wear</w:t>
            </w:r>
          </w:p>
        </w:tc>
        <w:tc>
          <w:tcPr>
            <w:tcW w:w="4680" w:type="dxa"/>
            <w:shd w:val="clear" w:color="auto" w:fill="EDEDED"/>
          </w:tcPr>
          <w:p>
            <w:pPr>
              <w:spacing w:before="0" w:after="40"/>
            </w:pPr>
            <w:r>
              <w:rPr>
                <w:b/>
                <w:sz w:val="19"/>
              </w:rPr>
              <w:t xml:space="preserve">Usually damage</w:t>
            </w:r>
          </w:p>
        </w:tc>
      </w:tr>
      <w:tr>
        <w:tc>
          <w:tcPr>
            <w:tcW w:w="4680" w:type="dxa"/>
          </w:tcPr>
          <w:p>
            <w:pPr>
              <w:spacing w:before="0" w:after="200"/>
            </w:pPr>
            <w:r>
              <w:rPr>
                <w:sz w:val="19"/>
              </w:rPr>
              <w:t xml:space="preserve">Traffic paths and matting in hallways</w:t>
            </w:r>
          </w:p>
        </w:tc>
        <w:tc>
          <w:tcPr>
            <w:tcW w:w="4680" w:type="dxa"/>
          </w:tcPr>
          <w:p>
            <w:pPr>
              <w:spacing w:before="0" w:after="200"/>
            </w:pPr>
            <w:r>
              <w:rPr>
                <w:sz w:val="19"/>
              </w:rPr>
              <w:t xml:space="preserve">Burns, rips or large stains</w:t>
            </w:r>
          </w:p>
        </w:tc>
      </w:tr>
      <w:tr>
        <w:tc>
          <w:tcPr>
            <w:tcW w:w="4680" w:type="dxa"/>
          </w:tcPr>
          <w:p>
            <w:pPr>
              <w:spacing w:before="0" w:after="200"/>
            </w:pPr>
            <w:r>
              <w:rPr>
                <w:sz w:val="19"/>
              </w:rPr>
              <w:t xml:space="preserve">Light surface scratches on wood or vinyl</w:t>
            </w:r>
          </w:p>
        </w:tc>
        <w:tc>
          <w:tcPr>
            <w:tcW w:w="4680" w:type="dxa"/>
          </w:tcPr>
          <w:p>
            <w:pPr>
              <w:spacing w:before="0" w:after="200"/>
            </w:pPr>
            <w:r>
              <w:rPr>
                <w:sz w:val="19"/>
              </w:rPr>
              <w:t xml:space="preserve">Deep gouges, water damage or pet scratches</w:t>
            </w:r>
          </w:p>
        </w:tc>
      </w:tr>
      <w:tr>
        <w:tc>
          <w:tcPr>
            <w:tcW w:w="4680" w:type="dxa"/>
          </w:tcPr>
          <w:p>
            <w:pPr>
              <w:spacing w:before="0" w:after="200"/>
            </w:pPr>
            <w:r>
              <w:rPr>
                <w:sz w:val="19"/>
              </w:rPr>
              <w:t xml:space="preserve">Carpet worn thin after many years</w:t>
            </w:r>
          </w:p>
        </w:tc>
        <w:tc>
          <w:tcPr>
            <w:tcW w:w="4680" w:type="dxa"/>
          </w:tcPr>
          <w:p>
            <w:pPr>
              <w:spacing w:before="0" w:after="200"/>
            </w:pPr>
            <w:r>
              <w:rPr>
                <w:sz w:val="19"/>
              </w:rPr>
              <w:t xml:space="preserve">Pet urine odor soaked into pad</w:t>
            </w:r>
          </w:p>
        </w:tc>
      </w:tr>
      <w:tr>
        <w:tc>
          <w:tcPr>
            <w:tcW w:w="4680" w:type="dxa"/>
          </w:tcPr>
          <w:p>
            <w:pPr>
              <w:spacing w:before="0" w:after="200"/>
            </w:pPr>
            <w:r>
              <w:rPr>
                <w:sz w:val="19"/>
              </w:rPr>
              <w:t xml:space="preserve">Grout slightly discolored</w:t>
            </w:r>
          </w:p>
        </w:tc>
        <w:tc>
          <w:tcPr>
            <w:tcW w:w="4680" w:type="dxa"/>
          </w:tcPr>
          <w:p>
            <w:pPr>
              <w:spacing w:before="0" w:after="200"/>
            </w:pPr>
            <w:r>
              <w:rPr>
                <w:sz w:val="19"/>
              </w:rPr>
              <w:t xml:space="preserve">Cracked or broken tiles from dropped objects</w:t>
            </w:r>
          </w:p>
        </w:tc>
      </w:tr>
    </w:tbl>
    <w:p>
      <w:pPr>
        <w:spacing w:before="0" w:after="120"/>
      </w:pPr>
    </w:p>
    <w:p>
      <w:pPr>
        <w:pStyle w:val="Heading2"/>
        <w:keepNext/>
        <w:spacing w:before="240" w:after="100"/>
      </w:pPr>
      <w:r>
        <w:rPr>
          <w:b/>
          <w:sz w:val="26"/>
        </w:rPr>
        <w:t xml:space="preserve">Kitchen and bath</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Usually normal wear</w:t>
            </w:r>
          </w:p>
        </w:tc>
        <w:tc>
          <w:tcPr>
            <w:tcW w:w="4680" w:type="dxa"/>
            <w:shd w:val="clear" w:color="auto" w:fill="EDEDED"/>
          </w:tcPr>
          <w:p>
            <w:pPr>
              <w:spacing w:before="0" w:after="40"/>
            </w:pPr>
            <w:r>
              <w:rPr>
                <w:b/>
                <w:sz w:val="19"/>
              </w:rPr>
              <w:t xml:space="preserve">Usually damage</w:t>
            </w:r>
          </w:p>
        </w:tc>
      </w:tr>
      <w:tr>
        <w:tc>
          <w:tcPr>
            <w:tcW w:w="4680" w:type="dxa"/>
          </w:tcPr>
          <w:p>
            <w:pPr>
              <w:spacing w:before="0" w:after="200"/>
            </w:pPr>
            <w:r>
              <w:rPr>
                <w:sz w:val="19"/>
              </w:rPr>
              <w:t xml:space="preserve">Worn finish on cabinet handles</w:t>
            </w:r>
          </w:p>
        </w:tc>
        <w:tc>
          <w:tcPr>
            <w:tcW w:w="4680" w:type="dxa"/>
          </w:tcPr>
          <w:p>
            <w:pPr>
              <w:spacing w:before="0" w:after="200"/>
            </w:pPr>
            <w:r>
              <w:rPr>
                <w:sz w:val="19"/>
              </w:rPr>
              <w:t xml:space="preserve">Broken cabinet doors or hinges</w:t>
            </w:r>
          </w:p>
        </w:tc>
      </w:tr>
      <w:tr>
        <w:tc>
          <w:tcPr>
            <w:tcW w:w="4680" w:type="dxa"/>
          </w:tcPr>
          <w:p>
            <w:pPr>
              <w:spacing w:before="0" w:after="200"/>
            </w:pPr>
            <w:r>
              <w:rPr>
                <w:sz w:val="19"/>
              </w:rPr>
              <w:t xml:space="preserve">Minor countertop wear</w:t>
            </w:r>
          </w:p>
        </w:tc>
        <w:tc>
          <w:tcPr>
            <w:tcW w:w="4680" w:type="dxa"/>
          </w:tcPr>
          <w:p>
            <w:pPr>
              <w:spacing w:before="0" w:after="200"/>
            </w:pPr>
            <w:r>
              <w:rPr>
                <w:sz w:val="19"/>
              </w:rPr>
              <w:t xml:space="preserve">Burns, cuts or chips in counters</w:t>
            </w:r>
          </w:p>
        </w:tc>
      </w:tr>
      <w:tr>
        <w:tc>
          <w:tcPr>
            <w:tcW w:w="4680" w:type="dxa"/>
          </w:tcPr>
          <w:p>
            <w:pPr>
              <w:spacing w:before="0" w:after="200"/>
            </w:pPr>
            <w:r>
              <w:rPr>
                <w:sz w:val="19"/>
              </w:rPr>
              <w:t xml:space="preserve">Loose toilet seat or worn faucet washer</w:t>
            </w:r>
          </w:p>
        </w:tc>
        <w:tc>
          <w:tcPr>
            <w:tcW w:w="4680" w:type="dxa"/>
          </w:tcPr>
          <w:p>
            <w:pPr>
              <w:spacing w:before="0" w:after="200"/>
            </w:pPr>
            <w:r>
              <w:rPr>
                <w:sz w:val="19"/>
              </w:rPr>
              <w:t xml:space="preserve">Cracked toilet tank or sink</w:t>
            </w:r>
          </w:p>
        </w:tc>
      </w:tr>
      <w:tr>
        <w:tc>
          <w:tcPr>
            <w:tcW w:w="4680" w:type="dxa"/>
          </w:tcPr>
          <w:p>
            <w:pPr>
              <w:spacing w:before="0" w:after="200"/>
            </w:pPr>
            <w:r>
              <w:rPr>
                <w:sz w:val="19"/>
              </w:rPr>
              <w:t xml:space="preserve">Caulk that has aged and yellowed</w:t>
            </w:r>
          </w:p>
        </w:tc>
        <w:tc>
          <w:tcPr>
            <w:tcW w:w="4680" w:type="dxa"/>
          </w:tcPr>
          <w:p>
            <w:pPr>
              <w:spacing w:before="0" w:after="200"/>
            </w:pPr>
            <w:r>
              <w:rPr>
                <w:sz w:val="19"/>
              </w:rPr>
              <w:t xml:space="preserve">Mold from not using exhaust fans after repeated warnings</w:t>
            </w:r>
          </w:p>
        </w:tc>
      </w:tr>
    </w:tbl>
    <w:p>
      <w:pPr>
        <w:spacing w:before="0" w:after="120"/>
      </w:pPr>
    </w:p>
    <w:p>
      <w:pPr>
        <w:pStyle w:val="Heading2"/>
        <w:keepNext/>
        <w:spacing w:before="240" w:after="100"/>
      </w:pPr>
      <w:r>
        <w:rPr>
          <w:b/>
          <w:sz w:val="26"/>
        </w:rPr>
        <w:t xml:space="preserve">Doors, windows and fixtures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Usually normal wear</w:t>
            </w:r>
          </w:p>
        </w:tc>
        <w:tc>
          <w:tcPr>
            <w:tcW w:w="4680" w:type="dxa"/>
            <w:shd w:val="clear" w:color="auto" w:fill="EDEDED"/>
          </w:tcPr>
          <w:p>
            <w:pPr>
              <w:spacing w:before="0" w:after="40"/>
            </w:pPr>
            <w:r>
              <w:rPr>
                <w:b/>
                <w:sz w:val="19"/>
              </w:rPr>
              <w:t xml:space="preserve">Usually damage</w:t>
            </w:r>
          </w:p>
        </w:tc>
      </w:tr>
      <w:tr>
        <w:tc>
          <w:tcPr>
            <w:tcW w:w="4680" w:type="dxa"/>
          </w:tcPr>
          <w:p>
            <w:pPr>
              <w:spacing w:before="0" w:after="200"/>
            </w:pPr>
            <w:r>
              <w:rPr>
                <w:sz w:val="19"/>
              </w:rPr>
              <w:t xml:space="preserve">Sticking door from humidity</w:t>
            </w:r>
          </w:p>
        </w:tc>
        <w:tc>
          <w:tcPr>
            <w:tcW w:w="4680" w:type="dxa"/>
          </w:tcPr>
          <w:p>
            <w:pPr>
              <w:spacing w:before="0" w:after="200"/>
            </w:pPr>
            <w:r>
              <w:rPr>
                <w:sz w:val="19"/>
              </w:rPr>
              <w:t xml:space="preserve">Door kicked in or off its hinges</w:t>
            </w:r>
          </w:p>
        </w:tc>
      </w:tr>
      <w:tr>
        <w:tc>
          <w:tcPr>
            <w:tcW w:w="4680" w:type="dxa"/>
          </w:tcPr>
          <w:p>
            <w:pPr>
              <w:spacing w:before="0" w:after="200"/>
            </w:pPr>
            <w:r>
              <w:rPr>
                <w:sz w:val="19"/>
              </w:rPr>
              <w:t xml:space="preserve">Worn blinds cords</w:t>
            </w:r>
          </w:p>
        </w:tc>
        <w:tc>
          <w:tcPr>
            <w:tcW w:w="4680" w:type="dxa"/>
          </w:tcPr>
          <w:p>
            <w:pPr>
              <w:spacing w:before="0" w:after="200"/>
            </w:pPr>
            <w:r>
              <w:rPr>
                <w:sz w:val="19"/>
              </w:rPr>
              <w:t xml:space="preserve">Bent or missing blinds</w:t>
            </w:r>
          </w:p>
        </w:tc>
      </w:tr>
      <w:tr>
        <w:tc>
          <w:tcPr>
            <w:tcW w:w="4680" w:type="dxa"/>
          </w:tcPr>
          <w:p>
            <w:pPr>
              <w:spacing w:before="0" w:after="200"/>
            </w:pPr>
            <w:r>
              <w:rPr>
                <w:sz w:val="19"/>
              </w:rPr>
              <w:t xml:space="preserve">Loose door handle</w:t>
            </w:r>
          </w:p>
        </w:tc>
        <w:tc>
          <w:tcPr>
            <w:tcW w:w="4680" w:type="dxa"/>
          </w:tcPr>
          <w:p>
            <w:pPr>
              <w:spacing w:before="0" w:after="200"/>
            </w:pPr>
            <w:r>
              <w:rPr>
                <w:sz w:val="19"/>
              </w:rPr>
              <w:t xml:space="preserve">Broken windows or torn screens</w:t>
            </w:r>
          </w:p>
        </w:tc>
      </w:tr>
      <w:tr>
        <w:tc>
          <w:tcPr>
            <w:tcW w:w="4680" w:type="dxa"/>
          </w:tcPr>
          <w:p>
            <w:pPr>
              <w:spacing w:before="0" w:after="200"/>
            </w:pPr>
            <w:r>
              <w:rPr>
                <w:sz w:val="19"/>
              </w:rPr>
              <w:t xml:space="preserve">Dull light fixtures</w:t>
            </w:r>
          </w:p>
        </w:tc>
        <w:tc>
          <w:tcPr>
            <w:tcW w:w="4680" w:type="dxa"/>
          </w:tcPr>
          <w:p>
            <w:pPr>
              <w:spacing w:before="0" w:after="200"/>
            </w:pPr>
            <w:r>
              <w:rPr>
                <w:sz w:val="19"/>
              </w:rPr>
              <w:t xml:space="preserve">Missing fixtures, bulbs removed or alarms disconnected</w:t>
            </w:r>
          </w:p>
        </w:tc>
      </w:tr>
    </w:tbl>
    <w:p>
      <w:pPr>
        <w:spacing w:before="0" w:after="120"/>
      </w:pPr>
    </w:p>
    <w:p>
      <w:pPr>
        <w:pStyle w:val="Heading2"/>
        <w:keepNext/>
        <w:spacing w:before="240" w:after="100"/>
      </w:pPr>
      <w:r>
        <w:rPr>
          <w:b/>
          <w:sz w:val="26"/>
        </w:rPr>
        <w:t xml:space="preserve">Cleaning and items left behind</w:t>
      </w:r>
    </w:p>
    <w:p>
      <w:pPr>
        <w:spacing w:before="0" w:after="60"/>
        <w:ind w:left="360"/>
      </w:pPr>
      <w:r>
        <w:rPr>
          <w:sz w:val="21"/>
        </w:rPr>
        <w:t xml:space="preserve">☐  </w:t>
      </w:r>
      <w:r>
        <w:rPr>
          <w:sz w:val="21"/>
        </w:rPr>
        <w:t xml:space="preserve">Light dust is normal. Heavy grease, grime or filth beyond move-in condition can be charged at a reasonable rate.</w:t>
      </w:r>
    </w:p>
    <w:p>
      <w:pPr>
        <w:spacing w:before="0" w:after="60"/>
        <w:ind w:left="360"/>
      </w:pPr>
      <w:r>
        <w:rPr>
          <w:sz w:val="21"/>
        </w:rPr>
        <w:t xml:space="preserve">☐  </w:t>
      </w:r>
      <w:r>
        <w:rPr>
          <w:sz w:val="21"/>
        </w:rPr>
        <w:t xml:space="preserve">Trash, furniture and belongings left behind can be charged for removal, following the state's abandoned property rules.</w:t>
      </w:r>
    </w:p>
    <w:p>
      <w:pPr>
        <w:spacing w:before="0" w:after="60"/>
        <w:ind w:left="360"/>
      </w:pPr>
      <w:r>
        <w:rPr>
          <w:sz w:val="21"/>
        </w:rPr>
        <w:t xml:space="preserve">☐  </w:t>
      </w:r>
      <w:r>
        <w:rPr>
          <w:sz w:val="21"/>
        </w:rPr>
        <w:t xml:space="preserve">Pest treatment can be charged when the tenant's conduct caused the problem.</w:t>
      </w:r>
    </w:p>
    <w:p>
      <w:pPr>
        <w:spacing w:before="0" w:after="60"/>
      </w:pPr>
    </w:p>
    <w:p>
      <w:pPr>
        <w:pStyle w:val="Heading2"/>
        <w:keepNext/>
        <w:spacing w:before="240" w:after="100"/>
      </w:pPr>
      <w:r>
        <w:rPr>
          <w:b/>
          <w:sz w:val="26"/>
        </w:rPr>
        <w:t xml:space="preserve">Deduction worksheet</w:t>
      </w:r>
    </w:p>
    <w:p>
      <w:pPr>
        <w:spacing w:before="0" w:after="120"/>
      </w:pPr>
      <w:r>
        <w:rPr>
          <w:sz w:val="21"/>
        </w:rPr>
        <w:t xml:space="preserve">Charge only the part of an item's value the tenant used up early. Example: carpet with a 10 year life, 6 years old, ruined by the tenant. Replacement costs $2,000. Remaining life is 4 years out of 10, so a fair charge is about $800.</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560"/>
        <w:gridCol w:w="1560"/>
        <w:gridCol w:w="1560"/>
        <w:gridCol w:w="1560"/>
        <w:gridCol w:w="1560"/>
        <w:gridCol w:w="1560"/>
      </w:tblGrid>
      <w:tr>
        <w:tc>
          <w:tcPr>
            <w:tcW w:w="1560" w:type="dxa"/>
            <w:shd w:val="clear" w:color="auto" w:fill="EDEDED"/>
          </w:tcPr>
          <w:p>
            <w:pPr>
              <w:spacing w:before="0" w:after="40"/>
            </w:pPr>
            <w:r>
              <w:rPr>
                <w:b/>
                <w:sz w:val="19"/>
              </w:rPr>
              <w:t xml:space="preserve">Item</w:t>
            </w:r>
          </w:p>
        </w:tc>
        <w:tc>
          <w:tcPr>
            <w:tcW w:w="1560" w:type="dxa"/>
            <w:shd w:val="clear" w:color="auto" w:fill="EDEDED"/>
          </w:tcPr>
          <w:p>
            <w:pPr>
              <w:spacing w:before="0" w:after="40"/>
            </w:pPr>
            <w:r>
              <w:rPr>
                <w:b/>
                <w:sz w:val="19"/>
              </w:rPr>
              <w:t xml:space="preserve">Useful life (years)</w:t>
            </w:r>
          </w:p>
        </w:tc>
        <w:tc>
          <w:tcPr>
            <w:tcW w:w="1560" w:type="dxa"/>
            <w:shd w:val="clear" w:color="auto" w:fill="EDEDED"/>
          </w:tcPr>
          <w:p>
            <w:pPr>
              <w:spacing w:before="0" w:after="40"/>
            </w:pPr>
            <w:r>
              <w:rPr>
                <w:b/>
                <w:sz w:val="19"/>
              </w:rPr>
              <w:t xml:space="preserve">Age (years)</w:t>
            </w:r>
          </w:p>
        </w:tc>
        <w:tc>
          <w:tcPr>
            <w:tcW w:w="1560" w:type="dxa"/>
            <w:shd w:val="clear" w:color="auto" w:fill="EDEDED"/>
          </w:tcPr>
          <w:p>
            <w:pPr>
              <w:spacing w:before="0" w:after="40"/>
            </w:pPr>
            <w:r>
              <w:rPr>
                <w:b/>
                <w:sz w:val="19"/>
              </w:rPr>
              <w:t xml:space="preserve">Replacement or repair cost</w:t>
            </w:r>
          </w:p>
        </w:tc>
        <w:tc>
          <w:tcPr>
            <w:tcW w:w="1560" w:type="dxa"/>
            <w:shd w:val="clear" w:color="auto" w:fill="EDEDED"/>
          </w:tcPr>
          <w:p>
            <w:pPr>
              <w:spacing w:before="0" w:after="40"/>
            </w:pPr>
            <w:r>
              <w:rPr>
                <w:b/>
                <w:sz w:val="19"/>
              </w:rPr>
              <w:t xml:space="preserve">Remaining life percent</w:t>
            </w:r>
          </w:p>
        </w:tc>
        <w:tc>
          <w:tcPr>
            <w:tcW w:w="1560" w:type="dxa"/>
            <w:shd w:val="clear" w:color="auto" w:fill="EDEDED"/>
          </w:tcPr>
          <w:p>
            <w:pPr>
              <w:spacing w:before="0" w:after="40"/>
            </w:pPr>
            <w:r>
              <w:rPr>
                <w:b/>
                <w:sz w:val="19"/>
              </w:rPr>
              <w:t xml:space="preserve">Charge</w:t>
            </w:r>
          </w:p>
        </w:tc>
      </w:tr>
      <w:tr>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r>
      <w:tr>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r>
      <w:tr>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r>
      <w:tr>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r>
    </w:tbl>
    <w:p>
      <w:pPr>
        <w:spacing w:before="0" w:after="120"/>
      </w:pPr>
    </w:p>
    <w:p>
      <w:pPr>
        <w:spacing w:before="0" w:after="60"/>
        <w:ind w:left="360"/>
      </w:pPr>
      <w:r>
        <w:rPr>
          <w:sz w:val="21"/>
        </w:rPr>
        <w:t xml:space="preserve">☐  </w:t>
      </w:r>
      <w:r>
        <w:rPr>
          <w:sz w:val="21"/>
        </w:rPr>
        <w:t xml:space="preserve">Compare with the move-in checklist and photos before charging.</w:t>
      </w:r>
    </w:p>
    <w:p>
      <w:pPr>
        <w:spacing w:before="0" w:after="60"/>
        <w:ind w:left="360"/>
      </w:pPr>
      <w:r>
        <w:rPr>
          <w:sz w:val="21"/>
        </w:rPr>
        <w:t xml:space="preserve">☐  </w:t>
      </w:r>
      <w:r>
        <w:rPr>
          <w:sz w:val="21"/>
        </w:rPr>
        <w:t xml:space="preserve">Attach receipts, invoices or written estimates for each charge.</w:t>
      </w:r>
    </w:p>
    <w:p>
      <w:pPr>
        <w:spacing w:before="0" w:after="60"/>
        <w:ind w:left="360"/>
      </w:pPr>
      <w:r>
        <w:rPr>
          <w:sz w:val="21"/>
        </w:rPr>
        <w:t xml:space="preserve">☐  </w:t>
      </w:r>
      <w:r>
        <w:rPr>
          <w:sz w:val="21"/>
        </w:rPr>
        <w:t xml:space="preserve">Use the same labor rates you would pay a vendor.</w:t>
      </w:r>
    </w:p>
    <w:p>
      <w:pPr>
        <w:spacing w:before="0" w:after="60"/>
        <w:ind w:left="360"/>
      </w:pPr>
      <w:r>
        <w:rPr>
          <w:sz w:val="21"/>
        </w:rPr>
        <w:t xml:space="preserve">☐  </w:t>
      </w:r>
      <w:r>
        <w:rPr>
          <w:sz w:val="21"/>
        </w:rPr>
        <w:t xml:space="preserve">Send the itemized statement within the state deadline.</w:t>
      </w:r>
    </w:p>
    <w:p>
      <w:pPr>
        <w:spacing w:before="0" w:after="60"/>
      </w:pPr>
    </w:p>
    <w:p>
      <w:pPr>
        <w:pBdr>
          <w:bottom w:val="single" w:sz="4" w:space="1" w:color="BBBBBB"/>
        </w:pBdr>
        <w:spacing w:before="0" w:after="160"/>
      </w:pPr>
    </w:p>
    <w:p>
      <w:pPr>
        <w:spacing w:before="0" w:after="120"/>
      </w:pPr>
      <w:r>
        <w:rPr>
          <w:sz w:val="21"/>
        </w:rPr>
        <w:t xml:space="preserve">General template, not legal advice. Have a Virginia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Virginia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Virginia Normal Wear and Tear vs. Damage Checklist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Virginia Normal Wear and Tear vs. Damage Checklist</dc:title>
  <dc:creator>TenantLoop</dc:creator>
</cp:coreProperties>
</file>