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Residential Sublease Agreement</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Virginia,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Virginia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Virginia: </w:t>
      </w:r>
      <w:r>
        <w:rPr>
          <w:sz w:val="19"/>
        </w:rPr>
        <w:t xml:space="preserve">The landlord must return the deposit, with a written itemized list of any deductions, within 45 days after the tenancy ends or the tenant moves out, whichever is later. (Va. Code 55.1-1226(A))</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Virginia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Residential Sublease Agreement</dc:title>
  <dc:creator>TenantLoop</dc:creator>
</cp:coreProperties>
</file>