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Virginia Rent Ledger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Virginia attorney review before use. Last reviewed October 29, 2026.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Tenant name or names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Lease start and end dates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Monthly rent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Rent due day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Security deposit held (record separately, not as a payment)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How to keep it: add one line for every charge (rent, late charge, utility, repair billed to the tenant) and every payment or credit. Charges raise the balance and payments lower it. A positive balance means the tenant owes money; a negative balance is a credit. Never record the security deposit as rent.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1337"/>
        <w:gridCol w:w="1337"/>
        <w:gridCol w:w="1337"/>
        <w:gridCol w:w="1337"/>
        <w:gridCol w:w="1337"/>
        <w:gridCol w:w="1337"/>
        <w:gridCol w:w="1337"/>
      </w:tblGrid>
      <w:tr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Date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Description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Charge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Payment or credit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Balance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Method or reference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Opening balance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Year end summary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Total charges this year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Total payments this year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Balance at year end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Prepared by and date</w:t>
            </w:r>
          </w:p>
        </w:tc>
      </w:tr>
    </w:tbl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Virginia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Virginia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Virginia Rent Ledger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Virginia Rent Ledger</dc:title>
  <dc:creator>TenantLoop</dc:creator>
</cp:coreProperties>
</file>