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Virginia: </w:t>
      </w:r>
      <w:r>
        <w:rPr>
          <w:sz w:val="19"/>
        </w:rPr>
        <w:t xml:space="preserve">Deductions must be itemized in writing; when a third party contractor is needed for repairs, the landlord gives notice within the 45 days and has 15 more days to send the final list. (Va. Code 55.1-1226(A) and (E))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Move-In Condition Checklist</dc:title>
  <dc:creator>TenantLoop</dc:creator>
</cp:coreProperties>
</file>