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Room Rental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________ (State),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state law requires.</w:t>
      </w:r>
    </w:p>
    <w:p>
      <w:pPr>
        <w:pBdr>
          <w:left w:val="single" w:sz="18" w:space="8" w:color="1F3D2B"/>
        </w:pBdr>
        <w:shd w:val="clear" w:color="auto" w:fill="F2F2F2"/>
        <w:spacing w:before="0" w:after="160"/>
        <w:ind w:left="120"/>
      </w:pPr>
      <w:r>
        <w:rPr>
          <w:b/>
          <w:sz w:val="19"/>
        </w:rPr>
        <w:t xml:space="preserve">Notice to end a month-to-month tenancy: </w:t>
      </w:r>
      <w:r>
        <w:rPr>
          <w:sz w:val="19"/>
        </w:rPr>
        <w:t xml:space="preserve">________ (check the rule in your state)</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state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state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your state)</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state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Room Rental Agreement</dc:title>
  <dc:creator>TenantLoop</dc:creator>
</cp:coreProperties>
</file>