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Apartment (Multifamily) Lease Agreement</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This Apartment Lease is made on ________ (Date signed) between the owner or its managing agent (the landlord) and the residents named below for the unit described in section 2 of the community named there. The property is located in ________ (State), and the law of that state governs this Lease. Where this Lease conflicts with that law, the law controls.</w:t>
      </w:r>
    </w:p>
    <w:p>
      <w:pPr>
        <w:pStyle w:val="Heading2"/>
        <w:keepNext/>
        <w:spacing w:before="240" w:after="100"/>
      </w:pPr>
      <w:r>
        <w:rPr>
          <w:b/>
          <w:sz w:val="26"/>
        </w:rPr>
        <w:t xml:space="preserve">1. Parties and occupants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w:t>
            </w:r>
          </w:p>
        </w:tc>
        <w:tc>
          <w:tcPr>
            <w:tcW w:w="4680" w:type="dxa"/>
            <w:tcBorders>
              <w:bottom w:val="single" w:sz="6" w:color="333333"/>
            </w:tcBorders>
          </w:tcPr>
          <w:p>
            <w:pPr>
              <w:spacing w:before="0" w:after="360"/>
            </w:pPr>
            <w:r>
              <w:rPr>
                <w:color w:val="666666"/>
                <w:sz w:val="17"/>
              </w:rPr>
              <w:t xml:space="preserve">Managing agent and office address</w:t>
            </w:r>
          </w:p>
        </w:tc>
      </w:tr>
      <w:tr>
        <w:tc>
          <w:tcPr>
            <w:tcW w:w="4680" w:type="dxa"/>
            <w:tcBorders>
              <w:bottom w:val="single" w:sz="6" w:color="333333"/>
            </w:tcBorders>
          </w:tcPr>
          <w:p>
            <w:pPr>
              <w:spacing w:before="0" w:after="360"/>
            </w:pPr>
            <w:r>
              <w:rPr>
                <w:color w:val="666666"/>
                <w:sz w:val="17"/>
              </w:rPr>
              <w:t xml:space="preserve">Office phone, email and hours</w:t>
            </w:r>
          </w:p>
        </w:tc>
        <w:tc>
          <w:tcPr>
            <w:tcW w:w="4680" w:type="dxa"/>
            <w:tcBorders>
              <w:bottom w:val="single" w:sz="6" w:color="333333"/>
            </w:tcBorders>
          </w:tcPr>
          <w:p>
            <w:pPr>
              <w:spacing w:before="0" w:after="360"/>
            </w:pPr>
            <w:r>
              <w:rPr>
                <w:color w:val="666666"/>
                <w:sz w:val="17"/>
              </w:rPr>
              <w:t xml:space="preserve">Resident 1 full name</w:t>
            </w:r>
          </w:p>
        </w:tc>
      </w:tr>
      <w:tr>
        <w:tc>
          <w:tcPr>
            <w:tcW w:w="4680" w:type="dxa"/>
            <w:tcBorders>
              <w:bottom w:val="single" w:sz="6" w:color="333333"/>
            </w:tcBorders>
          </w:tcPr>
          <w:p>
            <w:pPr>
              <w:spacing w:before="0" w:after="360"/>
            </w:pPr>
            <w:r>
              <w:rPr>
                <w:color w:val="666666"/>
                <w:sz w:val="17"/>
              </w:rPr>
              <w:t xml:space="preserve">Resident 2 full name</w:t>
            </w:r>
          </w:p>
        </w:tc>
        <w:tc>
          <w:tcPr>
            <w:tcW w:w="4680" w:type="dxa"/>
            <w:tcBorders>
              <w:bottom w:val="single" w:sz="6" w:color="333333"/>
            </w:tcBorders>
          </w:tcPr>
          <w:p>
            <w:pPr>
              <w:spacing w:before="0" w:after="360"/>
            </w:pPr>
            <w:r>
              <w:rPr>
                <w:color w:val="666666"/>
                <w:sz w:val="17"/>
              </w:rPr>
              <w:t xml:space="preserve">Other occupants (names and ages of minors)</w:t>
            </w:r>
          </w:p>
        </w:tc>
      </w:tr>
    </w:tbl>
    <w:p>
      <w:pPr>
        <w:spacing w:before="0" w:after="120"/>
      </w:pPr>
    </w:p>
    <w:p>
      <w:pPr>
        <w:spacing w:before="0" w:after="120"/>
      </w:pPr>
      <w:r>
        <w:rPr>
          <w:sz w:val="21"/>
        </w:rPr>
        <w:t xml:space="preserve">Each resident is jointly and severally responsible for all obligations under this Lease. Only the people listed may live in the unit. Guests staying more than ________ (Number of nights) nights in a month need written approval.</w:t>
      </w:r>
    </w:p>
    <w:p>
      <w:pPr>
        <w:pStyle w:val="Heading2"/>
        <w:keepNext/>
        <w:spacing w:before="240" w:after="100"/>
      </w:pPr>
      <w:r>
        <w:rPr>
          <w:b/>
          <w:sz w:val="26"/>
        </w:rPr>
        <w:t xml:space="preserve">2. Unit and community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Community name</w:t>
            </w:r>
          </w:p>
        </w:tc>
        <w:tc>
          <w:tcPr>
            <w:tcW w:w="4680" w:type="dxa"/>
            <w:tcBorders>
              <w:bottom w:val="single" w:sz="6" w:color="333333"/>
            </w:tcBorders>
          </w:tcPr>
          <w:p>
            <w:pPr>
              <w:spacing w:before="0" w:after="360"/>
            </w:pPr>
            <w:r>
              <w:rPr>
                <w:color w:val="666666"/>
                <w:sz w:val="17"/>
              </w:rPr>
              <w:t xml:space="preserve">Street address</w:t>
            </w:r>
          </w:p>
        </w:tc>
      </w:tr>
      <w:tr>
        <w:tc>
          <w:tcPr>
            <w:tcW w:w="4680" w:type="dxa"/>
            <w:tcBorders>
              <w:bottom w:val="single" w:sz="6" w:color="333333"/>
            </w:tcBorders>
          </w:tcPr>
          <w:p>
            <w:pPr>
              <w:spacing w:before="0" w:after="360"/>
            </w:pPr>
            <w:r>
              <w:rPr>
                <w:color w:val="666666"/>
                <w:sz w:val="17"/>
              </w:rPr>
              <w:t xml:space="preserve">Unit number</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Assigned parking space(s)</w:t>
            </w:r>
          </w:p>
        </w:tc>
        <w:tc>
          <w:tcPr>
            <w:tcW w:w="4680" w:type="dxa"/>
            <w:tcBorders>
              <w:bottom w:val="single" w:sz="6" w:color="333333"/>
            </w:tcBorders>
          </w:tcPr>
          <w:p>
            <w:pPr>
              <w:spacing w:before="0" w:after="360"/>
            </w:pPr>
            <w:r>
              <w:rPr>
                <w:color w:val="666666"/>
                <w:sz w:val="17"/>
              </w:rPr>
              <w:t xml:space="preserve">Storage unit or locker</w:t>
            </w:r>
          </w:p>
        </w:tc>
      </w:tr>
      <w:tr>
        <w:tc>
          <w:tcPr>
            <w:tcW w:w="4680" w:type="dxa"/>
            <w:tcBorders>
              <w:bottom w:val="single" w:sz="6" w:color="333333"/>
            </w:tcBorders>
          </w:tcPr>
          <w:p>
            <w:pPr>
              <w:spacing w:before="0" w:after="360"/>
            </w:pPr>
            <w:r>
              <w:rPr>
                <w:color w:val="666666"/>
                <w:sz w:val="17"/>
              </w:rPr>
              <w:t xml:space="preserve">Mailbox number</w:t>
            </w:r>
          </w:p>
        </w:tc>
        <w:tc>
          <w:tcPr>
            <w:tcW w:w="4680" w:type="dxa"/>
            <w:tcBorders>
              <w:bottom w:val="single" w:sz="6" w:color="333333"/>
            </w:tcBorders>
          </w:tcPr>
          <w:p>
            <w:pPr>
              <w:spacing w:before="0" w:after="360"/>
            </w:pPr>
            <w:r>
              <w:rPr>
                <w:color w:val="666666"/>
                <w:sz w:val="17"/>
              </w:rPr>
              <w:t xml:space="preserve">Appliances in the unit</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starts on ________ (Start date) and ends at 11:59 p.m. on ________ (End date). If neither party gives at least ________ (Number of days) days of written notice before the end date, the Lease continues month to month on the same terms, at the current month to month rate, which may be changed with the notice state law requires.</w:t>
      </w:r>
    </w:p>
    <w:p>
      <w:pPr>
        <w:pStyle w:val="Heading2"/>
        <w:keepNext/>
        <w:spacing w:before="240" w:after="100"/>
      </w:pPr>
      <w:r>
        <w:rPr>
          <w:b/>
          <w:sz w:val="26"/>
        </w:rPr>
        <w:t xml:space="preserve">4. Rent and other monthly charges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Charge</w:t>
            </w:r>
          </w:p>
        </w:tc>
        <w:tc>
          <w:tcPr>
            <w:tcW w:w="4680" w:type="dxa"/>
            <w:shd w:val="clear" w:color="auto" w:fill="EDEDED"/>
          </w:tcPr>
          <w:p>
            <w:pPr>
              <w:spacing w:before="0" w:after="40"/>
            </w:pPr>
            <w:r>
              <w:rPr>
                <w:b/>
                <w:sz w:val="19"/>
              </w:rPr>
              <w:t xml:space="preserve">Monthly amount</w:t>
            </w:r>
          </w:p>
        </w:tc>
      </w:tr>
      <w:tr>
        <w:tc>
          <w:tcPr>
            <w:tcW w:w="4680" w:type="dxa"/>
          </w:tcPr>
          <w:p>
            <w:pPr>
              <w:spacing w:before="0" w:after="200"/>
            </w:pPr>
            <w:r>
              <w:rPr>
                <w:sz w:val="19"/>
              </w:rPr>
              <w:t xml:space="preserve">Base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Parking</w:t>
            </w:r>
          </w:p>
        </w:tc>
        <w:tc>
          <w:tcPr>
            <w:tcW w:w="4680" w:type="dxa"/>
          </w:tcPr>
          <w:p>
            <w:pPr>
              <w:spacing w:before="0" w:after="200"/>
            </w:pPr>
            <w:r>
              <w:rPr>
                <w:sz w:val="19"/>
              </w:rPr>
              <w:t xml:space="preserve"> </w:t>
            </w:r>
          </w:p>
        </w:tc>
      </w:tr>
      <w:tr>
        <w:tc>
          <w:tcPr>
            <w:tcW w:w="4680" w:type="dxa"/>
          </w:tcPr>
          <w:p>
            <w:pPr>
              <w:spacing w:before="0" w:after="200"/>
            </w:pPr>
            <w:r>
              <w:rPr>
                <w:sz w:val="19"/>
              </w:rPr>
              <w:t xml:space="preserve">Storage</w:t>
            </w:r>
          </w:p>
        </w:tc>
        <w:tc>
          <w:tcPr>
            <w:tcW w:w="4680" w:type="dxa"/>
          </w:tcPr>
          <w:p>
            <w:pPr>
              <w:spacing w:before="0" w:after="200"/>
            </w:pPr>
            <w:r>
              <w:rPr>
                <w:sz w:val="19"/>
              </w:rPr>
              <w:t xml:space="preserve"> </w:t>
            </w:r>
          </w:p>
        </w:tc>
      </w:tr>
      <w:tr>
        <w:tc>
          <w:tcPr>
            <w:tcW w:w="4680" w:type="dxa"/>
          </w:tcPr>
          <w:p>
            <w:pPr>
              <w:spacing w:before="0" w:after="200"/>
            </w:pPr>
            <w:r>
              <w:rPr>
                <w:sz w:val="19"/>
              </w:rPr>
              <w:t xml:space="preserve">Pet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Utility or service charges</w:t>
            </w:r>
          </w:p>
        </w:tc>
        <w:tc>
          <w:tcPr>
            <w:tcW w:w="4680" w:type="dxa"/>
          </w:tcPr>
          <w:p>
            <w:pPr>
              <w:spacing w:before="0" w:after="200"/>
            </w:pPr>
            <w:r>
              <w:rPr>
                <w:sz w:val="19"/>
              </w:rPr>
              <w:t xml:space="preserve"> </w:t>
            </w:r>
          </w:p>
        </w:tc>
      </w:tr>
      <w:tr>
        <w:tc>
          <w:tcPr>
            <w:tcW w:w="4680" w:type="dxa"/>
          </w:tcPr>
          <w:p>
            <w:pPr>
              <w:spacing w:before="0" w:after="200"/>
            </w:pPr>
            <w:r>
              <w:rPr>
                <w:sz w:val="19"/>
              </w:rPr>
              <w:t xml:space="preserve">Total monthly charges</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Rent is due in advance on the ________ (Due day) day of each month, paid by ________ (Accepted payment methods) through ________ (Payment portal or office). If rent is not received by the end of a ________ (Grace period in days) day grace period, a late charge of $________ (Late charge) applies. A returned payment incurs a fee of $________ (Returned payment fee) where allowed by law.</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your state)</w:t>
      </w:r>
    </w:p>
    <w:p>
      <w:pPr>
        <w:pStyle w:val="Heading2"/>
        <w:keepNext/>
        <w:spacing w:before="240" w:after="100"/>
      </w:pPr>
      <w:r>
        <w:rPr>
          <w:b/>
          <w:sz w:val="26"/>
        </w:rPr>
        <w:t xml:space="preserve">5. Security deposit</w:t>
      </w:r>
    </w:p>
    <w:p>
      <w:pPr>
        <w:spacing w:before="0" w:after="120"/>
      </w:pPr>
      <w:r>
        <w:rPr>
          <w:sz w:val="21"/>
        </w:rPr>
        <w:t xml:space="preserve">The resident pays a security deposit of $________ (Deposit amount). It is not rent. Within the time state law requires after move-out, the landlord will return the deposit minus lawful deductions, with an itemized statement, to the forwarding address the resident provides.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Where deposits are held: </w:t>
      </w:r>
      <w:r>
        <w:rPr>
          <w:sz w:val="19"/>
        </w:rPr>
        <w:t xml:space="preserve">________ (check the rule in your state)</w:t>
      </w:r>
    </w:p>
    <w:p>
      <w:pPr>
        <w:pStyle w:val="Heading2"/>
        <w:keepNext/>
        <w:spacing w:before="240" w:after="100"/>
      </w:pPr>
      <w:r>
        <w:rPr>
          <w:b/>
          <w:sz w:val="26"/>
        </w:rPr>
        <w:t xml:space="preserve">6. Utilities</w:t>
      </w:r>
    </w:p>
    <w:p>
      <w:pPr>
        <w:spacing w:before="0" w:after="120"/>
      </w:pPr>
      <w:r>
        <w:rPr>
          <w:sz w:val="21"/>
        </w:rPr>
        <w:t xml:space="preserve">Utilities the resident sets up and pays directly: ________ (List). Utilities billed by the landlord, and how they are divided among units: ________ (List and method, such as submeter, ratio billing or flat fee, or none). Utilities included in rent: ________ (List).</w:t>
      </w:r>
    </w:p>
    <w:p>
      <w:pPr>
        <w:pStyle w:val="Heading2"/>
        <w:keepNext/>
        <w:spacing w:before="240" w:after="100"/>
      </w:pPr>
      <w:r>
        <w:rPr>
          <w:b/>
          <w:sz w:val="26"/>
        </w:rPr>
        <w:t xml:space="preserve">7. Community rules</w:t>
      </w:r>
    </w:p>
    <w:p>
      <w:pPr>
        <w:spacing w:before="0" w:after="120"/>
      </w:pPr>
      <w:r>
        <w:rPr>
          <w:sz w:val="21"/>
        </w:rPr>
        <w:t xml:space="preserve">The resident, occupants and guests will follow the community rules attached to this Lease, as updated with written notice. Rules apply equally to all residents and cover topics such as:</w:t>
      </w:r>
    </w:p>
    <w:p>
      <w:pPr>
        <w:spacing w:before="0" w:after="60"/>
        <w:ind w:left="360"/>
      </w:pPr>
      <w:r>
        <w:rPr>
          <w:sz w:val="21"/>
        </w:rPr>
        <w:t xml:space="preserve">☐  </w:t>
      </w:r>
      <w:r>
        <w:rPr>
          <w:sz w:val="21"/>
        </w:rPr>
        <w:t xml:space="preserve">Quiet hours from ________ (Start time) to ________ (End time), and no noise that disturbs neighbors at any time.</w:t>
      </w:r>
    </w:p>
    <w:p>
      <w:pPr>
        <w:spacing w:before="0" w:after="60"/>
        <w:ind w:left="360"/>
      </w:pPr>
      <w:r>
        <w:rPr>
          <w:sz w:val="21"/>
        </w:rPr>
        <w:t xml:space="preserve">☐  </w:t>
      </w:r>
      <w:r>
        <w:rPr>
          <w:sz w:val="21"/>
        </w:rPr>
        <w:t xml:space="preserve">Common areas, hallways and stairwells kept clear. No bikes, grills or belongings left in shared spaces.</w:t>
      </w:r>
    </w:p>
    <w:p>
      <w:pPr>
        <w:spacing w:before="0" w:after="60"/>
        <w:ind w:left="360"/>
      </w:pPr>
      <w:r>
        <w:rPr>
          <w:sz w:val="21"/>
        </w:rPr>
        <w:t xml:space="preserve">☐  </w:t>
      </w:r>
      <w:r>
        <w:rPr>
          <w:sz w:val="21"/>
        </w:rPr>
        <w:t xml:space="preserve">Amenities (pool, gym, clubroom, laundry) used during posted hours, at the resident's own risk, with guests accompanied.</w:t>
      </w:r>
    </w:p>
    <w:p>
      <w:pPr>
        <w:spacing w:before="0" w:after="60"/>
        <w:ind w:left="360"/>
      </w:pPr>
      <w:r>
        <w:rPr>
          <w:sz w:val="21"/>
        </w:rPr>
        <w:t xml:space="preserve">☐  </w:t>
      </w:r>
      <w:r>
        <w:rPr>
          <w:sz w:val="21"/>
        </w:rPr>
        <w:t xml:space="preserve">Trash bagged and placed only in designated containers. Large items removed by the resident.</w:t>
      </w:r>
    </w:p>
    <w:p>
      <w:pPr>
        <w:spacing w:before="0" w:after="60"/>
        <w:ind w:left="360"/>
      </w:pPr>
      <w:r>
        <w:rPr>
          <w:sz w:val="21"/>
        </w:rPr>
        <w:t xml:space="preserve">☐  </w:t>
      </w:r>
      <w:r>
        <w:rPr>
          <w:sz w:val="21"/>
        </w:rPr>
        <w:t xml:space="preserve">Balconies and patios kept tidy. No open flame grills where fire codes prohibit them.</w:t>
      </w:r>
    </w:p>
    <w:p>
      <w:pPr>
        <w:spacing w:before="0" w:after="60"/>
        <w:ind w:left="360"/>
      </w:pPr>
      <w:r>
        <w:rPr>
          <w:sz w:val="21"/>
        </w:rPr>
        <w:t xml:space="preserve">☐  </w:t>
      </w:r>
      <w:r>
        <w:rPr>
          <w:sz w:val="21"/>
        </w:rPr>
        <w:t xml:space="preserve">Parking only in assigned or marked spaces. Unregistered or inoperable vehicles may be towed under posted rules and local law.</w:t>
      </w:r>
    </w:p>
    <w:p>
      <w:pPr>
        <w:spacing w:before="0" w:after="60"/>
        <w:ind w:left="360"/>
      </w:pPr>
      <w:r>
        <w:rPr>
          <w:sz w:val="21"/>
        </w:rPr>
        <w:t xml:space="preserve">☐  </w:t>
      </w:r>
      <w:r>
        <w:rPr>
          <w:sz w:val="21"/>
        </w:rPr>
        <w:t xml:space="preserve">Building doors and gates kept closed. No propping doors or sharing access codes.</w:t>
      </w:r>
    </w:p>
    <w:p>
      <w:pPr>
        <w:spacing w:before="0" w:after="60"/>
        <w:ind w:left="360"/>
      </w:pPr>
      <w:r>
        <w:rPr>
          <w:sz w:val="21"/>
        </w:rPr>
        <w:t xml:space="preserve">☐  </w:t>
      </w:r>
      <w:r>
        <w:rPr>
          <w:sz w:val="21"/>
        </w:rPr>
        <w:t xml:space="preserve">Packages picked up promptly from ________ (Package room or locker). The landlord is not responsible for packages it does not sign for.</w:t>
      </w:r>
    </w:p>
    <w:p>
      <w:pPr>
        <w:spacing w:before="0" w:after="60"/>
      </w:pPr>
    </w:p>
    <w:p>
      <w:pPr>
        <w:pStyle w:val="Heading2"/>
        <w:keepNext/>
        <w:spacing w:before="240" w:after="100"/>
      </w:pPr>
      <w:r>
        <w:rPr>
          <w:b/>
          <w:sz w:val="26"/>
        </w:rPr>
        <w:t xml:space="preserve">8. Smoking</w:t>
      </w:r>
    </w:p>
    <w:p>
      <w:pPr>
        <w:spacing w:before="0" w:after="120"/>
      </w:pPr>
      <w:r>
        <w:rPr>
          <w:sz w:val="21"/>
        </w:rPr>
        <w:t xml:space="preserve">Smoking and vaping of any substance are ________ (Prohibited everywhere in the community, or allowed only in designated outdoor areas).</w:t>
      </w:r>
    </w:p>
    <w:p>
      <w:pPr>
        <w:pStyle w:val="Heading2"/>
        <w:keepNext/>
        <w:spacing w:before="240" w:after="100"/>
      </w:pPr>
      <w:r>
        <w:rPr>
          <w:b/>
          <w:sz w:val="26"/>
        </w:rPr>
        <w:t xml:space="preserve">9. Pets</w:t>
      </w:r>
    </w:p>
    <w:p>
      <w:pPr>
        <w:spacing w:before="0" w:after="120"/>
      </w:pPr>
      <w:r>
        <w:rPr>
          <w:sz w:val="21"/>
        </w:rPr>
        <w:t xml:space="preserve">No pets, even visiting pets, without a signed pet addendum. Approved pets: ________ (Type, breed, weight and name, or none). Pet deposit $________ (Pet deposit) and pet rent as listed above, where allowed by law. Pets must be leashed in common areas, and waste must be picked up. Service and support animals are not pets and are handled under fair housing law.</w:t>
      </w:r>
    </w:p>
    <w:p>
      <w:pPr>
        <w:pStyle w:val="Heading2"/>
        <w:keepNext/>
        <w:spacing w:before="240" w:after="100"/>
      </w:pPr>
      <w:r>
        <w:rPr>
          <w:b/>
          <w:sz w:val="26"/>
        </w:rPr>
        <w:t xml:space="preserve">10. Maintenance and repairs</w:t>
      </w:r>
    </w:p>
    <w:p>
      <w:pPr>
        <w:spacing w:before="0" w:after="120"/>
      </w:pPr>
      <w:r>
        <w:rPr>
          <w:sz w:val="21"/>
        </w:rPr>
        <w:t xml:space="preserve">The landlord will maintain the building, common areas and unit systems as required by law. The resident will keep the unit clean, report leaks, mold, pests and broken items promptly through ________ (Portal, email or office), and pay for damage caused by the resident, occupants, guests or pets beyond normal wear and tear. Emergencies after hours: ________ (Emergency number).</w:t>
      </w:r>
    </w:p>
    <w:p>
      <w:pPr>
        <w:spacing w:before="0" w:after="120"/>
      </w:pPr>
      <w:r>
        <w:rPr>
          <w:sz w:val="21"/>
        </w:rPr>
        <w:t xml:space="preserve">No alterations, painting, wall mounts heavier than picture hooks, lock changes, satellite dishes or appliance installations without written consent, except as federal or state law allows.</w:t>
      </w:r>
    </w:p>
    <w:p>
      <w:pPr>
        <w:pBdr>
          <w:left w:val="single" w:sz="18" w:space="8" w:color="1F3D2B"/>
        </w:pBdr>
        <w:shd w:val="clear" w:color="auto" w:fill="F2F2F2"/>
        <w:spacing w:before="0" w:after="160"/>
        <w:ind w:left="120"/>
      </w:pPr>
      <w:r>
        <w:rPr>
          <w:b/>
          <w:sz w:val="19"/>
        </w:rPr>
        <w:t xml:space="preserve">Repair rights and remedies: </w:t>
      </w:r>
      <w:r>
        <w:rPr>
          <w:sz w:val="19"/>
        </w:rPr>
        <w:t xml:space="preserve">________ (check the rule in your state)</w:t>
      </w:r>
    </w:p>
    <w:p>
      <w:pPr>
        <w:pStyle w:val="Heading2"/>
        <w:keepNext/>
        <w:spacing w:before="240" w:after="100"/>
      </w:pPr>
      <w:r>
        <w:rPr>
          <w:b/>
          <w:sz w:val="26"/>
        </w:rPr>
        <w:t xml:space="preserve">11. Entry</w:t>
      </w:r>
    </w:p>
    <w:p>
      <w:pPr>
        <w:spacing w:before="0" w:after="120"/>
      </w:pPr>
      <w:r>
        <w:rPr>
          <w:sz w:val="21"/>
        </w:rPr>
        <w:t xml:space="preserve">The landlord may enter the unit at reasonable times to inspect, make repairs, perform pest treatment or show the unit, after giving the notice state law requires. In an emergency the landlord may enter without notice.</w:t>
      </w:r>
    </w:p>
    <w:p>
      <w:pPr>
        <w:pBdr>
          <w:left w:val="single" w:sz="18" w:space="8" w:color="1F3D2B"/>
        </w:pBdr>
        <w:shd w:val="clear" w:color="auto" w:fill="F2F2F2"/>
        <w:spacing w:before="0" w:after="160"/>
        <w:ind w:left="120"/>
      </w:pPr>
      <w:r>
        <w:rPr>
          <w:b/>
          <w:sz w:val="19"/>
        </w:rPr>
        <w:t xml:space="preserve">Notice before entry: </w:t>
      </w:r>
      <w:r>
        <w:rPr>
          <w:sz w:val="19"/>
        </w:rPr>
        <w:t xml:space="preserve">________ (check the rule in your state)</w:t>
      </w:r>
    </w:p>
    <w:p>
      <w:pPr>
        <w:pStyle w:val="Heading2"/>
        <w:keepNext/>
        <w:spacing w:before="240" w:after="100"/>
      </w:pPr>
      <w:r>
        <w:rPr>
          <w:b/>
          <w:sz w:val="26"/>
        </w:rPr>
        <w:t xml:space="preserve">12. Insurance and liability</w:t>
      </w:r>
    </w:p>
    <w:p>
      <w:pPr>
        <w:spacing w:before="0" w:after="120"/>
      </w:pPr>
      <w:r>
        <w:rPr>
          <w:sz w:val="21"/>
        </w:rPr>
        <w:t xml:space="preserve">The landlord's insurance does not cover the resident's belongings or liability. The resident ________ (Must keep renters insurance with liability coverage of at least $ amount and list the landlord as an interested party, or is encouraged to carry renters insurance).</w:t>
      </w:r>
    </w:p>
    <w:p>
      <w:pPr>
        <w:pStyle w:val="Heading2"/>
        <w:keepNext/>
        <w:spacing w:before="240" w:after="100"/>
      </w:pPr>
      <w:r>
        <w:rPr>
          <w:b/>
          <w:sz w:val="26"/>
        </w:rPr>
        <w:t xml:space="preserve">13. Subletting and short stays</w:t>
      </w:r>
    </w:p>
    <w:p>
      <w:pPr>
        <w:spacing w:before="0" w:after="120"/>
      </w:pPr>
      <w:r>
        <w:rPr>
          <w:sz w:val="21"/>
        </w:rPr>
        <w:t xml:space="preserve">The resident may not sublet, assign this Lease, or rent the unit for short stays through any platform without the landlord's written consent, except where state law gives the resident that right.</w:t>
      </w:r>
    </w:p>
    <w:p>
      <w:pPr>
        <w:pStyle w:val="Heading2"/>
        <w:keepNext/>
        <w:spacing w:before="240" w:after="100"/>
      </w:pPr>
      <w:r>
        <w:rPr>
          <w:b/>
          <w:sz w:val="26"/>
        </w:rPr>
        <w:t xml:space="preserve">14. Disclosures and attachments</w:t>
      </w:r>
    </w:p>
    <w:p>
      <w:pPr>
        <w:spacing w:before="0" w:after="120"/>
      </w:pPr>
      <w:r>
        <w:rPr>
          <w:sz w:val="21"/>
        </w:rPr>
        <w:t xml:space="preserve">The resident acknowledges receiving: ________ (List, such as community rules, pet addendum, parking addendum, lead-based paint disclosure for buildings built before 1978, move-in condition checklist, mold or bed bug notices).</w:t>
      </w:r>
    </w:p>
    <w:p>
      <w:pPr>
        <w:pBdr>
          <w:left w:val="single" w:sz="18" w:space="8" w:color="1F3D2B"/>
        </w:pBdr>
        <w:shd w:val="clear" w:color="auto" w:fill="F2F2F2"/>
        <w:spacing w:before="0" w:after="160"/>
        <w:ind w:left="120"/>
      </w:pPr>
      <w:r>
        <w:rPr>
          <w:b/>
          <w:sz w:val="19"/>
        </w:rPr>
        <w:t xml:space="preserve">Disclosures required in this state: </w:t>
      </w:r>
      <w:r>
        <w:rPr>
          <w:sz w:val="19"/>
        </w:rPr>
        <w:t xml:space="preserve">________ (check the rule in your state)</w:t>
      </w:r>
    </w:p>
    <w:p>
      <w:pPr>
        <w:pStyle w:val="Heading2"/>
        <w:keepNext/>
        <w:spacing w:before="240" w:after="100"/>
      </w:pPr>
      <w:r>
        <w:rPr>
          <w:b/>
          <w:sz w:val="26"/>
        </w:rPr>
        <w:t xml:space="preserve">15. Default</w:t>
      </w:r>
    </w:p>
    <w:p>
      <w:pPr>
        <w:spacing w:before="0" w:after="120"/>
      </w:pPr>
      <w:r>
        <w:rPr>
          <w:sz w:val="21"/>
        </w:rPr>
        <w:t xml:space="preserve">If the resident fails to pay rent or breaks this Lease or the community rules, the landlord may give the notice required by state law and, if the problem is not fixed, end the tenancy through the courts. The landlord will not lock out the resident, remove belongings or shut off utilities to force a move.</w:t>
      </w:r>
    </w:p>
    <w:p>
      <w:pPr>
        <w:pStyle w:val="Heading2"/>
        <w:keepNext/>
        <w:spacing w:before="240" w:after="100"/>
      </w:pPr>
      <w:r>
        <w:rPr>
          <w:b/>
          <w:sz w:val="26"/>
        </w:rPr>
        <w:t xml:space="preserve">16. Early termination</w:t>
      </w:r>
    </w:p>
    <w:p>
      <w:pPr>
        <w:spacing w:before="0" w:after="120"/>
      </w:pPr>
      <w:r>
        <w:rPr>
          <w:sz w:val="21"/>
        </w:rPr>
        <w:t xml:space="preserve">The resident may end this Lease early by giving ________ (Number of days) days of written notice and paying ________ (Early termination fee, or rent until the unit is re-rented). Military members and survivors of domestic violence may have rights to end the Lease early under federal and state law.</w:t>
      </w:r>
    </w:p>
    <w:p>
      <w:pPr>
        <w:pStyle w:val="Heading2"/>
        <w:keepNext/>
        <w:spacing w:before="240" w:after="100"/>
      </w:pPr>
      <w:r>
        <w:rPr>
          <w:b/>
          <w:sz w:val="26"/>
        </w:rPr>
        <w:t xml:space="preserve">17. Move-out</w:t>
      </w:r>
    </w:p>
    <w:p>
      <w:pPr>
        <w:spacing w:before="0" w:after="120"/>
      </w:pPr>
      <w:r>
        <w:rPr>
          <w:sz w:val="21"/>
        </w:rPr>
        <w:t xml:space="preserve">At move-out the resident will remove all belongings, clean the unit, return all keys, fobs, remotes and parking permits, and give a forwarding address in writing. The landlord will compare the unit with the move-in condition checklist.</w:t>
      </w:r>
    </w:p>
    <w:p>
      <w:pPr>
        <w:pStyle w:val="Heading2"/>
        <w:keepNext/>
        <w:spacing w:before="240" w:after="100"/>
      </w:pPr>
      <w:r>
        <w:rPr>
          <w:b/>
          <w:sz w:val="26"/>
        </w:rPr>
        <w:t xml:space="preserve">18. Other terms</w:t>
      </w:r>
    </w:p>
    <w:p>
      <w:pPr>
        <w:spacing w:before="0" w:after="120"/>
      </w:pPr>
      <w:r>
        <w:rPr>
          <w:sz w:val="21"/>
        </w:rPr>
        <w:t xml:space="preserve">Notices must be in writing, delivered to the addresses above or through the resident portal where both parties agree. If any part of this Lease is invalid, the rest stays in effect. This Lease and its attachments are the whole agreement and may be changed only in writing signed by both parties. Additional terms: ________ (Additional terms, or none).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Resident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Resident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Apartment (Multifamily)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Apartment (Multifamily) Lease Agreement</dc:title>
  <dc:creator>TenantLoop</dc:creator>
</cp:coreProperties>
</file>