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Eviction Notice Set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state law allows them in this notice.</w:t>
      </w:r>
    </w:p>
    <w:p>
      <w:pPr>
        <w:pBdr>
          <w:left w:val="single" w:sz="18" w:space="8" w:color="1F3D2B"/>
        </w:pBdr>
        <w:shd w:val="clear" w:color="auto" w:fill="F2F2F2"/>
        <w:spacing w:before="0" w:after="160"/>
        <w:ind w:left="120"/>
      </w:pPr>
      <w:r>
        <w:rPr>
          <w:b/>
          <w:sz w:val="19"/>
        </w:rPr>
        <w:t xml:space="preserve">Notice period for unpaid rent: </w:t>
      </w:r>
      <w:r>
        <w:rPr>
          <w:sz w:val="19"/>
        </w:rPr>
        <w:t xml:space="preserve">________ (check the rule in your state)</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your state)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state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w:t>
      </w:r>
      <w:r>
        <w:rPr>
          <w:sz w:val="19"/>
        </w:rPr>
        <w:t xml:space="preserve">________ (check the rule in your state)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Eviction Notice Set</dc:title>
  <dc:creator>TenantLoop</dc:creator>
</cp:coreProperties>
</file>