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Residential Lease Agreement</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Texas,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Texas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Texas: </w:t>
      </w:r>
      <w:r>
        <w:rPr>
          <w:sz w:val="19"/>
        </w:rPr>
        <w:t xml:space="preserve">A late fee must be in a written lease, must be reasonable, and is presumed reasonable up to 12 percent of monthly rent for buildings with four or fewer units and 10 percent for larger buildings. (Property Code section 92.019)</w:t>
      </w:r>
    </w:p>
    <w:p>
      <w:pPr>
        <w:pBdr>
          <w:left w:val="single" w:sz="18" w:space="8" w:color="1F3D2B"/>
        </w:pBdr>
        <w:shd w:val="clear" w:color="auto" w:fill="F2F2F2"/>
        <w:spacing w:before="0" w:after="160"/>
        <w:ind w:left="120"/>
      </w:pPr>
      <w:r>
        <w:rPr>
          <w:b/>
          <w:sz w:val="19"/>
        </w:rPr>
        <w:t xml:space="preserve">Required grace period in Texas: </w:t>
      </w:r>
      <w:r>
        <w:rPr>
          <w:sz w:val="19"/>
        </w:rPr>
        <w:t xml:space="preserve">A late fee may be charged only if rent remains unpaid two full days after the due date. (Property Code section 92.019)</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Texas law requires.</w:t>
      </w:r>
    </w:p>
    <w:p>
      <w:pPr>
        <w:pBdr>
          <w:left w:val="single" w:sz="18" w:space="8" w:color="1F3D2B"/>
        </w:pBdr>
        <w:shd w:val="clear" w:color="auto" w:fill="F2F2F2"/>
        <w:spacing w:before="0" w:after="160"/>
        <w:ind w:left="120"/>
      </w:pPr>
      <w:r>
        <w:rPr>
          <w:b/>
          <w:sz w:val="19"/>
        </w:rPr>
        <w:t xml:space="preserve">Deposit limit in Texas: </w:t>
      </w:r>
      <w:r>
        <w:rPr>
          <w:sz w:val="19"/>
        </w:rPr>
        <w:t xml:space="preserve">State law does not limit how much a landlord can charge as a security deposit. (Texas Property Code chapter 92, subchapter C)</w:t>
      </w:r>
    </w:p>
    <w:p>
      <w:pPr>
        <w:pBdr>
          <w:left w:val="single" w:sz="18" w:space="8" w:color="1F3D2B"/>
        </w:pBdr>
        <w:shd w:val="clear" w:color="auto" w:fill="F2F2F2"/>
        <w:spacing w:before="0" w:after="160"/>
        <w:ind w:left="120"/>
      </w:pPr>
      <w:r>
        <w:rPr>
          <w:b/>
          <w:sz w:val="19"/>
        </w:rPr>
        <w:t xml:space="preserve">Deposit return deadline in Texas: </w:t>
      </w:r>
      <w:r>
        <w:rPr>
          <w:sz w:val="19"/>
        </w:rPr>
        <w:t xml:space="preserve">Once the tenant gives up possession, the landlord has 30 days to send back the deposit along with a written account of anything kept. (Property Code section 92.103)</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Texas)</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Texas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Texas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Texas: </w:t>
      </w:r>
      <w:r>
        <w:rPr>
          <w:sz w:val="19"/>
        </w:rPr>
        <w:t xml:space="preserve">No statute sets a notice period for landlord entry, so the lease governs access. (Texas Property Code (no entry notice statute))</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Texas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w:t>
      </w:r>
      <w:r>
        <w:rPr>
          <w:sz w:val="19"/>
        </w:rPr>
        <w:t xml:space="preserve">________ (check the rule in Texas)</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Texas)</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Texas: </w:t>
      </w:r>
      <w:r>
        <w:rPr>
          <w:sz w:val="19"/>
        </w:rPr>
        <w:t xml:space="preserve">Homes built before 1978 need the federal lead-based paint disclosure and the EPA pamphlet. (Residential Lead-Based Paint Hazard Reduction Act (42 U.S.C. 4852d)) Leases must include the written flood disclosure notice about the 100-year floodplain and past flooding. (Property Code section 92.0135) On request, the landlord must disclose the name and address of the owner and of any management company. (Property Code section 92.201)</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Residential Lease Agreement</dc:title>
  <dc:creator>TenantLoop</dc:creator>
</cp:coreProperties>
</file>