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Rental Application</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Texas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Texas: </w:t>
      </w:r>
      <w:r>
        <w:rPr>
          <w:sz w:val="19"/>
        </w:rPr>
        <w:t xml:space="preserve">State law does not cap application fees, but the landlord must make its written tenant selection criteria available, or refund the fee to a rejected applicant. (Property Code section 92.3515)</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Texas: </w:t>
      </w:r>
      <w:r>
        <w:rPr>
          <w:sz w:val="19"/>
        </w:rPr>
        <w:t xml:space="preserve">Landlords who charge an application fee must give applicants the written selection criteria, such as criminal history, credit and rental history rules, before they apply. (Property Code section 92.3515)</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Rental Application</dc:title>
  <dc:creator>TenantLoop</dc:creator>
</cp:coreProperties>
</file>