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Texas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Texas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Texas: </w:t>
      </w:r>
      <w:r>
        <w:rPr>
          <w:sz w:val="19"/>
        </w:rPr>
        <w:t xml:space="preserve">Deductions need a written description and itemized list, and the landlord is not obligated to refund until the tenant gives a written forwarding address. (Property Code sections 92.104 and 92.107)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Texas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Texas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Texas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Texas Move-In Condition Checklist</dc:title>
  <dc:creator>TenantLoop</dc:creator>
</cp:coreProperties>
</file>