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Eviction Notice Set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Texas law allows them in this notice.</w:t>
      </w:r>
    </w:p>
    <w:p>
      <w:pPr>
        <w:pBdr>
          <w:left w:val="single" w:sz="18" w:space="8" w:color="1F3D2B"/>
        </w:pBdr>
        <w:shd w:val="clear" w:color="auto" w:fill="F2F2F2"/>
        <w:spacing w:before="0" w:after="160"/>
        <w:ind w:left="120"/>
      </w:pPr>
      <w:r>
        <w:rPr>
          <w:b/>
          <w:sz w:val="19"/>
        </w:rPr>
        <w:t xml:space="preserve">Notice period for unpaid rent: </w:t>
      </w:r>
      <w:r>
        <w:rPr>
          <w:sz w:val="19"/>
        </w:rPr>
        <w:t xml:space="preserve">________ (check the rule in Texas)</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Texas)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Texas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Texas: </w:t>
      </w:r>
      <w:r>
        <w:rPr>
          <w:sz w:val="19"/>
        </w:rPr>
        <w:t xml:space="preserve">A month-to-month tenancy ends with at least one month of written notice from either side, unless both agreed in writing to a different period. (Property Code section 91.001)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Eviction Notice Set</dc:title>
  <dc:creator>TenantLoop</dc:creator>
</cp:coreProperties>
</file>