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Rental Application Denial and Adverse Action Notice</w:t>
      </w:r>
    </w:p>
    <w:p>
      <w:pPr>
        <w:spacing w:before="0" w:after="240"/>
      </w:pPr>
      <w:r>
        <w:rPr>
          <w:color w:val="555555"/>
          <w:sz w:val="22"/>
        </w:rPr>
        <w:t xml:space="preserve">General template, not legal advice. Have a Texas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in Texas: </w:t>
      </w:r>
      <w:r>
        <w:rPr>
          <w:sz w:val="19"/>
        </w:rPr>
        <w:t xml:space="preserve">Landlords who charge an application fee must give applicants the written selection criteria, such as criminal history, credit and rental history rules, before they apply. (Property Code section 92.3515)</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Rental Application Denial and Adverse Action Notice</dc:title>
  <dc:creator>TenantLoop</dc:creator>
</cp:coreProperties>
</file>