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Rent Payment Reminder Letter</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Tennessee: </w:t>
      </w:r>
      <w:r>
        <w:rPr>
          <w:sz w:val="19"/>
        </w:rPr>
        <w:t xml:space="preserve">In covered counties a late fee cannot exceed 10 percent of the rent that is past due. (Tenn. Code Ann. 66-28-201(d))</w:t>
      </w:r>
    </w:p>
    <w:p>
      <w:pPr>
        <w:pBdr>
          <w:left w:val="single" w:sz="18" w:space="8" w:color="1F3D2B"/>
        </w:pBdr>
        <w:shd w:val="clear" w:color="auto" w:fill="F2F2F2"/>
        <w:spacing w:before="0" w:after="160"/>
        <w:ind w:left="120"/>
      </w:pPr>
      <w:r>
        <w:rPr>
          <w:b/>
          <w:sz w:val="19"/>
        </w:rPr>
        <w:t xml:space="preserve">Grace period in Tennessee: </w:t>
      </w:r>
      <w:r>
        <w:rPr>
          <w:sz w:val="19"/>
        </w:rPr>
        <w:t xml:space="preserve">A five day grace period, counting the due date, applies before a late fee; if the last day falls on a Sunday or legal holiday, rent paid the next business day is on time. (Tenn. Code Ann. 66-28-201(d))</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Tennessee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Rent Payment Reminder Letter</dc:title>
  <dc:creator>TenantLoop</dc:creator>
</cp:coreProperties>
</file>