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Rent Increase Letter</w:t>
      </w:r>
    </w:p>
    <w:p>
      <w:pPr>
        <w:spacing w:before="0" w:after="240"/>
      </w:pPr>
      <w:r>
        <w:rPr>
          <w:color w:val="555555"/>
          <w:sz w:val="22"/>
        </w:rPr>
        <w:t xml:space="preserve">General template, not legal advice. Have a Tennessee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Rent control or caps in Tennessee: </w:t>
      </w:r>
      <w:r>
        <w:rPr>
          <w:sz w:val="19"/>
        </w:rPr>
        <w:t xml:space="preserve">Local governments in Tennessee may not enact or enforce any rule that controls the rent charged for private residential or commercial property. (Tenn. Code Ann. 66-35-102)</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Rent Increase Letter</dc:title>
  <dc:creator>TenantLoop</dc:creator>
</cp:coreProperties>
</file>