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Rent Increase Letter</w:t>
      </w:r>
    </w:p>
    <w:p>
      <w:pPr>
        <w:spacing w:before="0" w:after="240"/>
      </w:pPr>
      <w:r>
        <w:rPr>
          <w:color w:val="555555"/>
          <w:sz w:val="22"/>
        </w:rPr>
        <w:t xml:space="preserve">General template, not legal advice. Have a Pennsylvania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Pennsylvania)</w:t>
      </w:r>
    </w:p>
    <w:p>
      <w:pPr>
        <w:pBdr>
          <w:left w:val="single" w:sz="18" w:space="8" w:color="1F3D2B"/>
        </w:pBdr>
        <w:shd w:val="clear" w:color="auto" w:fill="F2F2F2"/>
        <w:spacing w:before="0" w:after="160"/>
        <w:ind w:left="120"/>
      </w:pPr>
      <w:r>
        <w:rPr>
          <w:b/>
          <w:sz w:val="19"/>
        </w:rPr>
        <w:t xml:space="preserve">Rent control or caps: </w:t>
      </w:r>
      <w:r>
        <w:rPr>
          <w:sz w:val="19"/>
        </w:rPr>
        <w:t xml:space="preserve">________ (check the rule in Pennsylvania)</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Rent Increase Letter</dc:title>
  <dc:creator>TenantLoop</dc:creator>
</cp:coreProperties>
</file>