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Pennsylvania: </w:t>
      </w:r>
      <w:r>
        <w:rPr>
          <w:sz w:val="19"/>
        </w:rPr>
        <w:t xml:space="preserve">A landlord who misses the 30 day written list loses the right to keep any part of the deposit and to sue for damages; the tenant must give a forwarding address in writing. (Landlord and Tenant Act of 1951, section 512)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Move-In Condition Checklist</dc:title>
  <dc:creator>TenantLoop</dc:creator>
</cp:coreProperties>
</file>