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Oregon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Oregon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 in Oregon: </w:t>
      </w:r>
      <w:r>
        <w:rPr>
          <w:sz w:val="19"/>
        </w:rPr>
        <w:t xml:space="preserve">Cities and counties may not adopt ordinances that control the amount of rent on private housing, apart from narrow exceptions such as housing that receives public benefits. (ORS 91.225)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Oregon: </w:t>
      </w:r>
      <w:r>
        <w:rPr>
          <w:sz w:val="19"/>
        </w:rPr>
        <w:t xml:space="preserve">A landlord may not raise rent, cut services, serve a termination notice or threaten an eviction because a tenant made a good faith complaint to the landlord or a government agency or joined a tenant group. (ORS 90.385)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Oregon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Oregon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Oregon: </w:t>
      </w:r>
      <w:r>
        <w:rPr>
          <w:sz w:val="19"/>
        </w:rPr>
        <w:t xml:space="preserve">The landlord has 31 days after the tenancy ends and the tenant gives up possession to return the deposit or the part not claimed. (ORS 90.300)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Oregon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Oregon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Oregon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Oregon Lease Non-Renewal Letter</dc:title>
  <dc:creator>TenantLoop</dc:creator>
</cp:coreProperties>
</file>