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Residential Lease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Ohio,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Ohio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Ohio)</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Ohio law requires.</w:t>
      </w:r>
    </w:p>
    <w:p>
      <w:pPr>
        <w:pBdr>
          <w:left w:val="single" w:sz="18" w:space="8" w:color="1F3D2B"/>
        </w:pBdr>
        <w:shd w:val="clear" w:color="auto" w:fill="F2F2F2"/>
        <w:spacing w:before="0" w:after="160"/>
        <w:ind w:left="120"/>
      </w:pPr>
      <w:r>
        <w:rPr>
          <w:b/>
          <w:sz w:val="19"/>
        </w:rPr>
        <w:t xml:space="preserve">Deposit limit in Ohio: </w:t>
      </w:r>
      <w:r>
        <w:rPr>
          <w:sz w:val="19"/>
        </w:rPr>
        <w:t xml:space="preserve">State law does not limit the amount of a security deposit. (Revised Code section 5321.16)</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Bdr>
          <w:left w:val="single" w:sz="18" w:space="8" w:color="1F3D2B"/>
        </w:pBdr>
        <w:shd w:val="clear" w:color="auto" w:fill="F2F2F2"/>
        <w:spacing w:before="0" w:after="160"/>
        <w:ind w:left="120"/>
      </w:pPr>
      <w:r>
        <w:rPr>
          <w:b/>
          <w:sz w:val="19"/>
        </w:rPr>
        <w:t xml:space="preserve">Interest on deposits in Ohio: </w:t>
      </w:r>
      <w:r>
        <w:rPr>
          <w:sz w:val="19"/>
        </w:rPr>
        <w:t xml:space="preserve">When a tenant stays six months or more, the landlord pays 5 percent yearly interest on the part of the deposit above one month's rent or 50 dollars, whichever is greater. (Revised Code section 5321.16)</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Ohio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Ohio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Ohio: </w:t>
      </w:r>
      <w:r>
        <w:rPr>
          <w:sz w:val="19"/>
        </w:rPr>
        <w:t xml:space="preserve">Except in an emergency, the landlord must give reasonable notice of at least 24 hours before entering and enter at reasonable times. (Revised Code section 5321.04)</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Ohio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Ohio: </w:t>
      </w:r>
      <w:r>
        <w:rPr>
          <w:sz w:val="19"/>
        </w:rPr>
        <w:t xml:space="preserve">Before filing, the landlord serves a written notice at least three days in advance that includes the statutory statement asking the tenant to leave and suggesting legal help. (Revised Code section 1923.04)</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Ohio)</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Ohio: </w:t>
      </w:r>
      <w:r>
        <w:rPr>
          <w:sz w:val="19"/>
        </w:rPr>
        <w:t xml:space="preserve">Homes built before 1978 need the federal lead-based paint disclosure and the EPA pamphlet. (Residential Lead-Based Paint Hazard Reduction Act (42 U.S.C. 4852d)) The lease or a written notice must give the name and address of the owner and of any agent who manages the property. (Revised Code section 5321.18)</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Residential Lease Agreement</dc:title>
  <dc:creator>TenantLoop</dc:creator>
</cp:coreProperties>
</file>