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Notice of Rent Increase</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Ohio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Ohio)</w:t>
      </w:r>
    </w:p>
    <w:p>
      <w:pPr>
        <w:pBdr>
          <w:left w:val="single" w:sz="18" w:space="8" w:color="1F3D2B"/>
        </w:pBdr>
        <w:shd w:val="clear" w:color="auto" w:fill="F2F2F2"/>
        <w:spacing w:before="0" w:after="160"/>
        <w:ind w:left="120"/>
      </w:pPr>
      <w:r>
        <w:rPr>
          <w:b/>
          <w:sz w:val="19"/>
        </w:rPr>
        <w:t xml:space="preserve">Statewide limit on increases in Ohio: </w:t>
      </w:r>
      <w:r>
        <w:rPr>
          <w:sz w:val="19"/>
        </w:rPr>
        <w:t xml:space="preserve">There is no statewide cap on rent increases. (Revised Code section 5321.19)</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Ohio)</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Ohio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Notice of Rent Increase</dc:title>
  <dc:creator>TenantLoop</dc:creator>
</cp:coreProperties>
</file>