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Rent Increase Letter</w:t>
      </w:r>
    </w:p>
    <w:p>
      <w:pPr>
        <w:spacing w:before="0" w:after="240"/>
      </w:pPr>
      <w:r>
        <w:rPr>
          <w:color w:val="555555"/>
          <w:sz w:val="22"/>
        </w:rPr>
        <w:t xml:space="preserve">General template, not legal advice. Have a Ohio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Rent control or caps in Ohio: </w:t>
      </w:r>
      <w:r>
        <w:rPr>
          <w:sz w:val="19"/>
        </w:rPr>
        <w:t xml:space="preserve">Cities and counties may not adopt rent limits for private housing; exceptions cover units the local government owns and voluntary incentive programs. (Revised Code section 5321.19)</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Rent Increase Letter</dc:title>
  <dc:creator>TenantLoop</dc:creator>
</cp:coreProperties>
</file>