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Ohio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Ohio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Ohio)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Ohio: </w:t>
      </w:r>
      <w:r>
        <w:rPr>
          <w:sz w:val="19"/>
        </w:rPr>
        <w:t xml:space="preserve">A landlord may not raise rent, reduce services or threaten eviction because a tenant complained to a government agency or the landlord, or joined a tenant group. (Revised Code section 5321.02)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Ohio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Ohio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Ohio: </w:t>
      </w:r>
      <w:r>
        <w:rPr>
          <w:sz w:val="19"/>
        </w:rPr>
        <w:t xml:space="preserve">The landlord has 30 days after the lease ends and the tenant gives back possession to return the deposit or send a written list of deductions with any balance. (Revised Code section 5321.16)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Ohio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Ohio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Ohio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Ohio Lease Non-Renewal Letter</dc:title>
  <dc:creator>TenantLoop</dc:creator>
</cp:coreProperties>
</file>