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Normal Wear and Tear vs. Damage Checklist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North Carolina: </w:t>
      </w:r>
      <w:r>
        <w:rPr>
          <w:sz w:val="19"/>
        </w:rPr>
        <w:t xml:space="preserve">Deductions must be itemized in writing, may not cover normal wear and tear, and may not exceed the landlord's actual damages. (N.C. General Statutes section 42-52)</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Normal Wear and Tear vs. Damage Checklist</dc:title>
  <dc:creator>TenantLoop</dc:creator>
</cp:coreProperties>
</file>