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Rental Application</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North Carolina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North Carolina)</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in North Carolina: </w:t>
      </w:r>
      <w:r>
        <w:rPr>
          <w:sz w:val="19"/>
        </w:rPr>
        <w:t xml:space="preserve">Screening must follow the federal Fair Housing Act and the North Carolina State Fair Housing Act, and local governments may not require landlords to accept federal housing vouchers. (North Carolina State Fair Housing Act and N.C. General Statutes section 42-14.1)</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Rental Application</dc:title>
  <dc:creator>TenantLoop</dc:creator>
</cp:coreProperties>
</file>