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Rent Payment Reminder Letter</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in North Carolina: </w:t>
      </w:r>
      <w:r>
        <w:rPr>
          <w:sz w:val="19"/>
        </w:rPr>
        <w:t xml:space="preserve">For monthly rent, a late fee may not exceed $15 or 5 percent of the monthly rent, whichever is greater, and may be charged only once per late payment. (N.C. General Statutes section 42-46)</w:t>
      </w:r>
    </w:p>
    <w:p>
      <w:pPr>
        <w:pBdr>
          <w:left w:val="single" w:sz="18" w:space="8" w:color="1F3D2B"/>
        </w:pBdr>
        <w:shd w:val="clear" w:color="auto" w:fill="F2F2F2"/>
        <w:spacing w:before="0" w:after="160"/>
        <w:ind w:left="120"/>
      </w:pPr>
      <w:r>
        <w:rPr>
          <w:b/>
          <w:sz w:val="19"/>
        </w:rPr>
        <w:t xml:space="preserve">Grace period in North Carolina: </w:t>
      </w:r>
      <w:r>
        <w:rPr>
          <w:sz w:val="19"/>
        </w:rPr>
        <w:t xml:space="preserve">A late fee may be charged only when rent is five calendar days or more late, counting from the day after it was due. (N.C. General Statutes section 42-46)</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North Carolina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Rent Payment Reminder Letter</dc:title>
  <dc:creator>TenantLoop</dc:creator>
</cp:coreProperties>
</file>