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North Carolina)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North Carolina: </w:t>
      </w:r>
      <w:r>
        <w:rPr>
          <w:sz w:val="19"/>
        </w:rPr>
        <w:t xml:space="preserve">A tenant can defend an eviction as retaliatory if it was substantially a response to a good faith repair request, code complaint or tenant organizing within the prior 12 months. (N.C. General Statutes section 42-37.1)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North Carolina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North Carolina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North Carolina: </w:t>
      </w:r>
      <w:r>
        <w:rPr>
          <w:sz w:val="19"/>
        </w:rPr>
        <w:t xml:space="preserve">The landlord must return the deposit, with an itemized list of any damage, within 30 days after the tenancy ends, or send an interim accounting then and a final one within 60 days if the claim is not yet known. (N.C. General Statutes section 42-52)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Lease Non-Renewal Letter</dc:title>
  <dc:creator>TenantLoop</dc:creator>
</cp:coreProperties>
</file>