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Normal Wear and Tear vs. Damage Checklist</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New York: </w:t>
      </w:r>
      <w:r>
        <w:rPr>
          <w:sz w:val="19"/>
        </w:rPr>
        <w:t xml:space="preserve">Any deductions must be listed in an itemized statement sent within the same 14 days, and a tenant who asks may get a pre move out inspection to fix problems first. (General Obligations Law section 7-108)</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Normal Wear and Tear vs. Damage Checklist</dc:title>
  <dc:creator>TenantLoop</dc:creator>
</cp:coreProperties>
</file>