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Rental Application</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New York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in New York: </w:t>
      </w:r>
      <w:r>
        <w:rPr>
          <w:sz w:val="19"/>
        </w:rPr>
        <w:t xml:space="preserve">The only fee allowed before a tenancy starts is a background and credit check fee of no more than the actual cost or $20, whichever is less, waived if the applicant brings a check from the past 30 days. (Real Property Law section 238-a)</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New York: </w:t>
      </w:r>
      <w:r>
        <w:rPr>
          <w:sz w:val="19"/>
        </w:rPr>
        <w:t xml:space="preserve">Refusing an applicant because of lawful source of income, including a housing voucher, is illegal, and a landlord may not reject someone because they were in a past landlord and tenant case. (New York Human Rights Law (Executive Law section 296) and Real Property Law section 227-f)</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Rental Application</dc:title>
  <dc:creator>TenantLoop</dc:creator>
</cp:coreProperties>
</file>