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Rent Increase Letter</w:t>
      </w:r>
    </w:p>
    <w:p>
      <w:pPr>
        <w:spacing w:before="0" w:after="240"/>
      </w:pPr>
      <w:r>
        <w:rPr>
          <w:color w:val="555555"/>
          <w:sz w:val="22"/>
        </w:rPr>
        <w:t xml:space="preserve">General template, not legal advice. Have a New York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in New York: </w:t>
      </w:r>
      <w:r>
        <w:rPr>
          <w:sz w:val="19"/>
        </w:rPr>
        <w:t xml:space="preserve">An increase of 5 percent or more needs 30 days of written notice if the tenant has lived there under a year, 60 days for one to two years, and 90 days for more than two years. (Real Property Law section 226-c)</w:t>
      </w:r>
    </w:p>
    <w:p>
      <w:pPr>
        <w:pBdr>
          <w:left w:val="single" w:sz="18" w:space="8" w:color="1F3D2B"/>
        </w:pBdr>
        <w:shd w:val="clear" w:color="auto" w:fill="F2F2F2"/>
        <w:spacing w:before="0" w:after="160"/>
        <w:ind w:left="120"/>
      </w:pPr>
      <w:r>
        <w:rPr>
          <w:b/>
          <w:sz w:val="19"/>
        </w:rPr>
        <w:t xml:space="preserve">Rent control or caps in New York: </w:t>
      </w:r>
      <w:r>
        <w:rPr>
          <w:sz w:val="19"/>
        </w:rPr>
        <w:t xml:space="preserve">Rent stabilization covers many apartments in New York City and in localities that opted in under the Emergency Tenant Protection Act, a smaller set of older units remains under rent control, and the Good Cause Eviction Law adds limits in covered places. (Emergency Tenant Protection Act of 1974, Rent Stabilization Law and Real Property Law Article 6-A)</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Rent Increase Letter</dc:title>
  <dc:creator>TenantLoop</dc:creator>
</cp:coreProperties>
</file>