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Move-Out Checklist</w:t>
      </w:r>
    </w:p>
    <w:p>
      <w:pPr>
        <w:spacing w:before="0" w:after="240"/>
      </w:pPr>
      <w:r>
        <w:rPr>
          <w:color w:val="555555"/>
          <w:sz w:val="22"/>
        </w:rPr>
        <w:t xml:space="preserve">General template, not legal advice. Have a New York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in New York: </w:t>
      </w:r>
      <w:r>
        <w:rPr>
          <w:sz w:val="19"/>
        </w:rPr>
        <w:t xml:space="preserve">The landlord must return the deposit, minus lawful deductions, within 14 days after the tenant moves out. (General Obligations Law section 7-108)</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New York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Move-Out Checklist</dc:title>
  <dc:creator>TenantLoop</dc:creator>
</cp:coreProperties>
</file>