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York Rental Application Denial and Adverse Action Notice</w:t>
      </w:r>
    </w:p>
    <w:p>
      <w:pPr>
        <w:spacing w:before="0" w:after="240"/>
      </w:pPr>
      <w:r>
        <w:rPr>
          <w:color w:val="555555"/>
          <w:sz w:val="22"/>
        </w:rPr>
        <w:t xml:space="preserve">General template, not legal advice. Have a New York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in New York: </w:t>
      </w:r>
      <w:r>
        <w:rPr>
          <w:sz w:val="19"/>
        </w:rPr>
        <w:t xml:space="preserve">Refusing an applicant because of lawful source of income, including a housing voucher, is illegal, and a landlord may not reject someone because they were in a past landlord and tenant case. (New York Human Rights Law (Executive Law section 296) and Real Property Law section 227-f)</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New York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York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York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York Rental Application Denial and Adverse Action Notice</dc:title>
  <dc:creator>TenantLoop</dc:creator>
</cp:coreProperties>
</file>