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Normal Wear and Tear vs. Damage Checklist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New Jersey: </w:t>
      </w:r>
      <w:r>
        <w:rPr>
          <w:sz w:val="19"/>
        </w:rPr>
        <w:t xml:space="preserve">Any deductions must be listed in an itemized statement sent with the balance by personal delivery or registered or certified mail. (N.J.S.A. 46:8-21.1)</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Normal Wear and Tear vs. Damage Checklist</dc:title>
  <dc:creator>TenantLoop</dc:creator>
</cp:coreProperties>
</file>