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Rent Payment Reminder Letter</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w:t>
      </w:r>
      <w:r>
        <w:rPr>
          <w:sz w:val="19"/>
        </w:rPr>
        <w:t xml:space="preserve">________ (check the rule in New Jersey)</w:t>
      </w:r>
    </w:p>
    <w:p>
      <w:pPr>
        <w:pBdr>
          <w:left w:val="single" w:sz="18" w:space="8" w:color="1F3D2B"/>
        </w:pBdr>
        <w:shd w:val="clear" w:color="auto" w:fill="F2F2F2"/>
        <w:spacing w:before="0" w:after="160"/>
        <w:ind w:left="120"/>
      </w:pPr>
      <w:r>
        <w:rPr>
          <w:b/>
          <w:sz w:val="19"/>
        </w:rPr>
        <w:t xml:space="preserve">Grace period in New Jersey: </w:t>
      </w:r>
      <w:r>
        <w:rPr>
          <w:sz w:val="19"/>
        </w:rPr>
        <w:t xml:space="preserve">Senior citizens receiving Social Security or a government pension, and tenants receiving disability benefits, Supplemental Security Income or Work First New Jersey benefits, get a five business day grace period before a late fee when rent is due on the first. (N.J.S.A. 2A:42-6.1 to 6.3)</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New Jersey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Rent Payment Reminder Letter</dc:title>
  <dc:creator>TenantLoop</dc:creator>
</cp:coreProperties>
</file>