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Notice of Rent Increase</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New Jersey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New Jersey)</w:t>
      </w:r>
    </w:p>
    <w:p>
      <w:pPr>
        <w:pBdr>
          <w:left w:val="single" w:sz="18" w:space="8" w:color="1F3D2B"/>
        </w:pBdr>
        <w:shd w:val="clear" w:color="auto" w:fill="F2F2F2"/>
        <w:spacing w:before="0" w:after="160"/>
        <w:ind w:left="120"/>
      </w:pPr>
      <w:r>
        <w:rPr>
          <w:b/>
          <w:sz w:val="19"/>
        </w:rPr>
        <w:t xml:space="preserve">Statewide limit on increases in New Jersey: </w:t>
      </w:r>
      <w:r>
        <w:rPr>
          <w:sz w:val="19"/>
        </w:rPr>
        <w:t xml:space="preserve">There is no statewide percentage cap, but a rent increase used to end a tenancy must not be unconscionable, and courts weigh the size of the increase, the landlord's costs and local market rents. (N.J.S.A. 2A:18-61.1(f) (Anti-Eviction Act))</w:t>
      </w:r>
    </w:p>
    <w:p>
      <w:pPr>
        <w:pBdr>
          <w:left w:val="single" w:sz="18" w:space="8" w:color="1F3D2B"/>
        </w:pBdr>
        <w:shd w:val="clear" w:color="auto" w:fill="F2F2F2"/>
        <w:spacing w:before="0" w:after="160"/>
        <w:ind w:left="120"/>
      </w:pPr>
      <w:r>
        <w:rPr>
          <w:b/>
          <w:sz w:val="19"/>
        </w:rPr>
        <w:t xml:space="preserve">Local rent rules in New Jersey: </w:t>
      </w:r>
      <w:r>
        <w:rPr>
          <w:sz w:val="19"/>
        </w:rPr>
        <w:t xml:space="preserve">Many municipalities, including Newark, Jersey City and Hoboken, have their own rent control or rent leveling rules. (Municipal rent control ordinances) Newly built multiple dwellings are exempt from local rent control for 30 years after construction is completed. (N.J.S.A. 2A:42-84.5)</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New Jersey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Notice of Rent Increase</dc:title>
  <dc:creator>TenantLoop</dc:creator>
</cp:coreProperties>
</file>