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Rent Increase Letter</w:t>
      </w:r>
    </w:p>
    <w:p>
      <w:pPr>
        <w:spacing w:before="0" w:after="240"/>
      </w:pPr>
      <w:r>
        <w:rPr>
          <w:color w:val="555555"/>
          <w:sz w:val="22"/>
        </w:rPr>
        <w:t xml:space="preserve">General template, not legal advice. Have a New Jersey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New Jersey)</w:t>
      </w:r>
    </w:p>
    <w:p>
      <w:pPr>
        <w:pBdr>
          <w:left w:val="single" w:sz="18" w:space="8" w:color="1F3D2B"/>
        </w:pBdr>
        <w:shd w:val="clear" w:color="auto" w:fill="F2F2F2"/>
        <w:spacing w:before="0" w:after="160"/>
        <w:ind w:left="120"/>
      </w:pPr>
      <w:r>
        <w:rPr>
          <w:b/>
          <w:sz w:val="19"/>
        </w:rPr>
        <w:t xml:space="preserve">Rent control or caps in New Jersey: </w:t>
      </w:r>
      <w:r>
        <w:rPr>
          <w:sz w:val="19"/>
        </w:rPr>
        <w:t xml:space="preserve">New Jersey has no statewide rent control law, but municipalities may adopt rent control or rent leveling ordinances enforced by local boards. (Inganamort v. Borough of Fort Lee (N.J. 1973) and municipal ordinances)</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Rent Increase Letter</dc:title>
  <dc:creator>TenantLoop</dc:creator>
</cp:coreProperties>
</file>