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Eviction Notice Set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New Jersey law allows them in this notice.</w:t>
      </w:r>
    </w:p>
    <w:p>
      <w:pPr>
        <w:pBdr>
          <w:left w:val="single" w:sz="18" w:space="8" w:color="1F3D2B"/>
        </w:pBdr>
        <w:shd w:val="clear" w:color="auto" w:fill="F2F2F2"/>
        <w:spacing w:before="0" w:after="160"/>
        <w:ind w:left="120"/>
      </w:pPr>
      <w:r>
        <w:rPr>
          <w:b/>
          <w:sz w:val="19"/>
        </w:rPr>
        <w:t xml:space="preserve">Notice period for unpaid rent in New Jersey: </w:t>
      </w:r>
      <w:r>
        <w:rPr>
          <w:sz w:val="19"/>
        </w:rPr>
        <w:t xml:space="preserve">For unpaid rent, a landlord can file for eviction right away without a notice to quit, except in federally subsidized housing, where a 14 day notice comes first. (N.J.S.A. 2A:18-61.1(a) and 2A:18-61.2 (Anti-Eviction Act))</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New Jersey: </w:t>
      </w:r>
      <w:r>
        <w:rPr>
          <w:sz w:val="19"/>
        </w:rPr>
        <w:t xml:space="preserve">For a breach of the lease or of written rules, the landlord first serves a notice to cease and then, if the conduct continues, a notice to quit at least one month before filing; disorderly conduct or serious damage allows a three day notice to quit. (N.J.S.A. 2A:18-61.1(b) to (e) (Anti-Eviction Act))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New Jersey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New Jersey: </w:t>
      </w:r>
      <w:r>
        <w:rPr>
          <w:sz w:val="19"/>
        </w:rPr>
        <w:t xml:space="preserve">A landlord covered by the Anti-Eviction Act cannot evict or refuse to renew without one of the causes listed in the statute, so the end of a lease term alone is not a reason to remove a tenant. (N.J.S.A. 2A:18-61.1 (Anti-Eviction Act))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Eviction Notice Set</dc:title>
  <dc:creator>TenantLoop</dc:creator>
</cp:coreProperties>
</file>