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Rental Application Denial and Adverse Action Notice</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in New Jersey: </w:t>
      </w:r>
      <w:r>
        <w:rPr>
          <w:sz w:val="19"/>
        </w:rPr>
        <w:t xml:space="preserve">Most housing providers may not ask about criminal history until after a conditional offer, may consider only certain convictions within set look back periods and must give a written reason if they withdraw the offer. (Fair Chance in Housing Act (P.L.2021, c.110))</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Rental Application Denial and Adverse Action Notice</dc:title>
  <dc:creator>TenantLoop</dc:creator>
</cp:coreProperties>
</file>