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Abandonment and Abandoned Property Notices</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New Jersey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New Jersey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New Jersey: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New Jersey law allows.</w:t>
      </w:r>
    </w:p>
    <w:p>
      <w:pPr>
        <w:spacing w:before="0" w:after="120"/>
      </w:pPr>
      <w:r>
        <w:rPr>
          <w:sz w:val="21"/>
        </w:rPr>
        <w:t xml:space="preserve">If you do not claim the items by the deadline, they may be ________ (Sold at public sale, kept, donated or thrown away) as allowed by New Jersey law. If items are sold, any money left after the costs of storage and sale will be handled as the law requires.</w:t>
      </w:r>
    </w:p>
    <w:p>
      <w:pPr>
        <w:spacing w:before="0" w:after="120"/>
      </w:pPr>
      <w:r>
        <w:rPr>
          <w:sz w:val="21"/>
        </w:rPr>
        <w:t xml:space="preserve">Abandoned property rule for New Jersey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Abandonment and Abandoned Property Notices</dc:title>
  <dc:creator>TenantLoop</dc:creator>
</cp:coreProperties>
</file>