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30 or 60 Day Notice to End Tenancy</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New Jersey: </w:t>
      </w:r>
      <w:r>
        <w:rPr>
          <w:sz w:val="19"/>
        </w:rPr>
        <w:t xml:space="preserve">A month to month tenant who is covered by the Anti-Eviction Act cannot be removed without a statutory cause; in owner occupied two and three family homes a one month notice to quit applies. (N.J.S.A. 2A:18-61.1 and 2A:18-61.2)</w:t>
      </w:r>
    </w:p>
    <w:p>
      <w:pPr>
        <w:pBdr>
          <w:left w:val="single" w:sz="18" w:space="8" w:color="1F3D2B"/>
        </w:pBdr>
        <w:shd w:val="clear" w:color="auto" w:fill="F2F2F2"/>
        <w:spacing w:before="0" w:after="160"/>
        <w:ind w:left="120"/>
      </w:pPr>
      <w:r>
        <w:rPr>
          <w:b/>
          <w:sz w:val="19"/>
        </w:rPr>
        <w:t xml:space="preserve">Local just cause rules in New Jersey: </w:t>
      </w:r>
      <w:r>
        <w:rPr>
          <w:sz w:val="19"/>
        </w:rPr>
        <w:t xml:space="preserve">Many municipalities, including Newark, Jersey City and Hoboken, have their own rent control or rent leveling rules. (Municipal rent control ordinances) Newly built multiple dwellings are exempt from local rent control for 30 years after construction is completed. (N.J.S.A. 2A:42-84.5)</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New Jersey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New Jersey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New Jersey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30 or 60 Day Notice to End Tenancy</dc:title>
  <dc:creator>TenantLoop</dc:creator>
</cp:coreProperties>
</file>