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Security Deposit Receipt</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This receipt confirms that the landlord received a security deposit from the tenant named below for a home located in Nevada.</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Nevada: </w:t>
      </w:r>
      <w:r>
        <w:rPr>
          <w:sz w:val="19"/>
        </w:rPr>
        <w:t xml:space="preserve">The total of any security deposit and surety bond, including last month's rent, may not exceed three months' rent. (NRS 118A.242)</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Nevada)</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Nevada)</w:t>
      </w:r>
    </w:p>
    <w:p>
      <w:pPr>
        <w:pBdr>
          <w:left w:val="single" w:sz="18" w:space="8" w:color="1F3D2B"/>
        </w:pBdr>
        <w:shd w:val="clear" w:color="auto" w:fill="F2F2F2"/>
        <w:spacing w:before="0" w:after="160"/>
        <w:ind w:left="120"/>
      </w:pPr>
      <w:r>
        <w:rPr>
          <w:b/>
          <w:sz w:val="19"/>
        </w:rPr>
        <w:t xml:space="preserve">Receipt or notice requirements: </w:t>
      </w:r>
      <w:r>
        <w:rPr>
          <w:sz w:val="19"/>
        </w:rPr>
        <w:t xml:space="preserve">________ (check the rule in Nevada)</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Nevada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Nevada: </w:t>
      </w:r>
      <w:r>
        <w:rPr>
          <w:sz w:val="19"/>
        </w:rPr>
        <w:t xml:space="preserve">Within 30 days after the tenancy ends, the landlord must return the remaining deposit with an itemized written accounting. (NRS 118A.242)</w:t>
      </w:r>
    </w:p>
    <w:p>
      <w:pPr>
        <w:pBdr>
          <w:left w:val="single" w:sz="18" w:space="8" w:color="1F3D2B"/>
        </w:pBdr>
        <w:shd w:val="clear" w:color="auto" w:fill="F2F2F2"/>
        <w:spacing w:before="0" w:after="160"/>
        <w:ind w:left="120"/>
      </w:pPr>
      <w:r>
        <w:rPr>
          <w:b/>
          <w:sz w:val="19"/>
        </w:rPr>
        <w:t xml:space="preserve">Itemization rules in Nevada: </w:t>
      </w:r>
      <w:r>
        <w:rPr>
          <w:sz w:val="19"/>
        </w:rPr>
        <w:t xml:space="preserve">Deductions are limited to unpaid rent, damage beyond normal wear and reasonable cleaning, and each must appear on the itemized accounting. (NRS 118A.242)</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Security Deposit Receipt</dc:title>
  <dc:creator>TenantLoop</dc:creator>
</cp:coreProperties>
</file>