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Rent Payment Reminder Letter</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in Nevada: </w:t>
      </w:r>
      <w:r>
        <w:rPr>
          <w:sz w:val="19"/>
        </w:rPr>
        <w:t xml:space="preserve">A late fee must be reasonable, stated in the rental agreement and no more than 5 percent of the periodic rent, and the cap cannot grow based on an earlier late fee. (NRS 118A.210)</w:t>
      </w:r>
    </w:p>
    <w:p>
      <w:pPr>
        <w:pBdr>
          <w:left w:val="single" w:sz="18" w:space="8" w:color="1F3D2B"/>
        </w:pBdr>
        <w:shd w:val="clear" w:color="auto" w:fill="F2F2F2"/>
        <w:spacing w:before="0" w:after="160"/>
        <w:ind w:left="120"/>
      </w:pPr>
      <w:r>
        <w:rPr>
          <w:b/>
          <w:sz w:val="19"/>
        </w:rPr>
        <w:t xml:space="preserve">Grace period in Nevada: </w:t>
      </w:r>
      <w:r>
        <w:rPr>
          <w:sz w:val="19"/>
        </w:rPr>
        <w:t xml:space="preserve">In a tenancy longer than week to week, no late fee may be charged until at least three calendar days after rent is due. (NRS 118A.210)</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Nevada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Rent Payment Reminder Letter</dc:title>
  <dc:creator>TenantLoop</dc:creator>
</cp:coreProperties>
</file>