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Move-Out Checklist</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Nevada: </w:t>
      </w:r>
      <w:r>
        <w:rPr>
          <w:sz w:val="19"/>
        </w:rPr>
        <w:t xml:space="preserve">Within 30 days after the tenancy ends, the landlord must return the remaining deposit with an itemized written accounting. (NRS 118A.242)</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Nevada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Move-Out Checklist</dc:title>
  <dc:creator>TenantLoop</dc:creator>
</cp:coreProperties>
</file>