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Nevada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Nevada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Nevada: </w:t>
      </w:r>
      <w:r>
        <w:rPr>
          <w:sz w:val="19"/>
        </w:rPr>
        <w:t xml:space="preserve">Deductions are limited to unpaid rent, damage beyond normal wear and reasonable cleaning, and each must appear on the itemized accounting. (NRS 118A.242)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Nevada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Nevada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Nevada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Nevada Move-In Condition Checklist</dc:title>
  <dc:creator>TenantLoop</dc:creator>
</cp:coreProperties>
</file>