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Lease Termination Letter</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Nevada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Nevada: </w:t>
      </w:r>
      <w:r>
        <w:rPr>
          <w:sz w:val="19"/>
        </w:rPr>
        <w:t xml:space="preserve">A month to month tenancy ends on at least 30 days of written notice, and a week to week tenancy on 7 days. (NRS 40.251)</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Nevada law requires.</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Nevada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Nevada: </w:t>
      </w:r>
      <w:r>
        <w:rPr>
          <w:sz w:val="19"/>
        </w:rPr>
        <w:t xml:space="preserve">A service member who enters active duty or receives qualifying orders can end a residential lease early with written notice and a copy of the orders.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Nevada: </w:t>
      </w:r>
      <w:r>
        <w:rPr>
          <w:sz w:val="19"/>
        </w:rPr>
        <w:t xml:space="preserve">A tenant or cotenant who, or whose household member, is a victim of domestic violence, harassment, sexual assault or stalking can end the lease effective at the end of the rental period or 30 days after written notice, whichever comes first, with supporting documents. (NRS 118A.345)</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Lease Termination Letter</dc:title>
  <dc:creator>TenantLoop</dc:creator>
</cp:coreProperties>
</file>