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Nevada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Nevada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Nevada)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Nevada: </w:t>
      </w:r>
      <w:r>
        <w:rPr>
          <w:sz w:val="19"/>
        </w:rPr>
        <w:t xml:space="preserve">A landlord may not end or refuse to renew a tenancy, raise rent, cut services or threaten eviction because a tenant complained in good faith, joined a tenant group or used a legal remedy. (NRS 118A.510)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Nevada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Nevada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Nevada: </w:t>
      </w:r>
      <w:r>
        <w:rPr>
          <w:sz w:val="19"/>
        </w:rPr>
        <w:t xml:space="preserve">Within 30 days after the tenancy ends, the landlord must return the remaining deposit with an itemized written accounting. (NRS 118A.242)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Nevada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Nevada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Nevada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Nevada Lease Non-Renewal Letter</dc:title>
  <dc:creator>TenantLoop</dc:creator>
</cp:coreProperties>
</file>