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Normal Wear and Tear vs. Damage Checklist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Missouri: </w:t>
      </w:r>
      <w:r>
        <w:rPr>
          <w:sz w:val="19"/>
        </w:rPr>
        <w:t xml:space="preserve">Deductions are limited to unpaid rent, restoring the unit beyond ordinary wear and tear, agreed carpet cleaning and losses from inadequate notice to end the tenancy, all listed in writing. (RSMo 535.300)</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Normal Wear and Tear vs. Damage Checklist</dc:title>
  <dc:creator>TenantLoop</dc:creator>
</cp:coreProperties>
</file>